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C76E8" w14:textId="49C18D05" w:rsidR="00076303" w:rsidRPr="00BA3630" w:rsidRDefault="00076303" w:rsidP="00561880">
      <w:pPr>
        <w:jc w:val="center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BA3630">
        <w:rPr>
          <w:rFonts w:asciiTheme="minorHAnsi" w:hAnsiTheme="minorHAnsi" w:cstheme="minorHAnsi"/>
          <w:b/>
          <w:sz w:val="24"/>
        </w:rPr>
        <w:t>Anexo V</w:t>
      </w:r>
      <w:r w:rsidR="004015DA" w:rsidRPr="00BA3630">
        <w:rPr>
          <w:rFonts w:asciiTheme="minorHAnsi" w:hAnsiTheme="minorHAnsi" w:cstheme="minorHAnsi"/>
          <w:b/>
          <w:sz w:val="24"/>
        </w:rPr>
        <w:t>I</w:t>
      </w:r>
    </w:p>
    <w:p w14:paraId="246A73CE" w14:textId="77777777" w:rsidR="00076303" w:rsidRPr="00BA3630" w:rsidRDefault="00076303" w:rsidP="00561880">
      <w:pPr>
        <w:jc w:val="center"/>
        <w:rPr>
          <w:rFonts w:asciiTheme="minorHAnsi" w:hAnsiTheme="minorHAnsi" w:cstheme="minorHAnsi"/>
          <w:b/>
          <w:sz w:val="24"/>
        </w:rPr>
      </w:pPr>
    </w:p>
    <w:p w14:paraId="22E9714A" w14:textId="6F733356" w:rsidR="00076303" w:rsidRPr="00BA3630" w:rsidRDefault="00076303" w:rsidP="00561880">
      <w:pPr>
        <w:jc w:val="center"/>
        <w:rPr>
          <w:rFonts w:asciiTheme="minorHAnsi" w:hAnsiTheme="minorHAnsi" w:cstheme="minorHAnsi"/>
          <w:b/>
          <w:sz w:val="24"/>
        </w:rPr>
      </w:pPr>
      <w:r w:rsidRPr="00BA3630">
        <w:rPr>
          <w:rFonts w:asciiTheme="minorHAnsi" w:hAnsiTheme="minorHAnsi" w:cstheme="minorHAnsi"/>
          <w:b/>
          <w:sz w:val="24"/>
        </w:rPr>
        <w:t xml:space="preserve">Gastos </w:t>
      </w:r>
      <w:r w:rsidR="003B411B" w:rsidRPr="00BA3630">
        <w:rPr>
          <w:rFonts w:asciiTheme="minorHAnsi" w:hAnsiTheme="minorHAnsi" w:cstheme="minorHAnsi"/>
          <w:b/>
          <w:sz w:val="24"/>
        </w:rPr>
        <w:t>no admisibles</w:t>
      </w:r>
      <w:r w:rsidR="00170B9D" w:rsidRPr="00BA3630">
        <w:rPr>
          <w:rFonts w:asciiTheme="minorHAnsi" w:hAnsiTheme="minorHAnsi" w:cstheme="minorHAnsi"/>
          <w:b/>
          <w:sz w:val="24"/>
        </w:rPr>
        <w:t xml:space="preserve"> a efectos del cálculo del presupuesto </w:t>
      </w:r>
      <w:r w:rsidR="003D3293" w:rsidRPr="00BA3630">
        <w:rPr>
          <w:rFonts w:asciiTheme="minorHAnsi" w:hAnsiTheme="minorHAnsi" w:cstheme="minorHAnsi"/>
          <w:b/>
          <w:sz w:val="24"/>
        </w:rPr>
        <w:t xml:space="preserve">subvencionable </w:t>
      </w:r>
      <w:r w:rsidR="00170B9D" w:rsidRPr="00BA3630">
        <w:rPr>
          <w:rFonts w:asciiTheme="minorHAnsi" w:hAnsiTheme="minorHAnsi" w:cstheme="minorHAnsi"/>
          <w:b/>
          <w:sz w:val="24"/>
        </w:rPr>
        <w:t>de las actuaciones del Plan Empresarial de Comercialización Conjunta</w:t>
      </w:r>
    </w:p>
    <w:p w14:paraId="70ABFA59" w14:textId="77777777" w:rsidR="00076303" w:rsidRPr="00BA3630" w:rsidRDefault="00076303" w:rsidP="00561880">
      <w:pPr>
        <w:rPr>
          <w:rFonts w:asciiTheme="minorHAnsi" w:hAnsiTheme="minorHAnsi" w:cstheme="minorHAnsi"/>
          <w:sz w:val="24"/>
        </w:rPr>
      </w:pPr>
    </w:p>
    <w:p w14:paraId="10B019B4" w14:textId="77777777" w:rsidR="00076303" w:rsidRPr="00BA3630" w:rsidRDefault="00076303" w:rsidP="00561880">
      <w:pPr>
        <w:rPr>
          <w:rFonts w:asciiTheme="minorHAnsi" w:hAnsiTheme="minorHAnsi" w:cstheme="minorHAnsi"/>
          <w:sz w:val="24"/>
        </w:rPr>
      </w:pPr>
    </w:p>
    <w:p w14:paraId="4ED6BB1F" w14:textId="5CD538C6" w:rsidR="00076303" w:rsidRPr="00BA3630" w:rsidRDefault="00170B9D" w:rsidP="00561880">
      <w:pPr>
        <w:pStyle w:val="Prrafodelista"/>
        <w:ind w:left="0"/>
        <w:rPr>
          <w:rFonts w:asciiTheme="minorHAnsi" w:hAnsiTheme="minorHAnsi" w:cstheme="minorHAnsi"/>
          <w:sz w:val="24"/>
        </w:rPr>
      </w:pPr>
      <w:r w:rsidRPr="00BA3630">
        <w:rPr>
          <w:rFonts w:asciiTheme="minorHAnsi" w:hAnsiTheme="minorHAnsi" w:cstheme="minorHAnsi"/>
          <w:sz w:val="24"/>
        </w:rPr>
        <w:t xml:space="preserve">1) </w:t>
      </w:r>
      <w:r w:rsidR="00076303" w:rsidRPr="00BA3630">
        <w:rPr>
          <w:rFonts w:asciiTheme="minorHAnsi" w:hAnsiTheme="minorHAnsi" w:cstheme="minorHAnsi"/>
          <w:sz w:val="24"/>
        </w:rPr>
        <w:t>Compra de material cuyo período de amortización sea inferior a un año, de acuerdo con las normas contables y fiscales aplicables.</w:t>
      </w:r>
    </w:p>
    <w:p w14:paraId="7AEFFAE0" w14:textId="63785DF5" w:rsidR="00170B9D" w:rsidRPr="00BA3630" w:rsidRDefault="00170B9D" w:rsidP="00561880">
      <w:pPr>
        <w:pStyle w:val="Prrafodelista"/>
        <w:ind w:left="0"/>
        <w:rPr>
          <w:rFonts w:asciiTheme="minorHAnsi" w:hAnsiTheme="minorHAnsi" w:cstheme="minorHAnsi"/>
          <w:sz w:val="24"/>
        </w:rPr>
      </w:pPr>
    </w:p>
    <w:p w14:paraId="7F747004" w14:textId="731C3A1E" w:rsidR="00076303" w:rsidRPr="00BA3630" w:rsidRDefault="003B411B" w:rsidP="00561880">
      <w:pPr>
        <w:pStyle w:val="Prrafodelista"/>
        <w:ind w:left="0"/>
        <w:rPr>
          <w:rFonts w:asciiTheme="minorHAnsi" w:hAnsiTheme="minorHAnsi" w:cstheme="minorHAnsi"/>
          <w:sz w:val="24"/>
        </w:rPr>
      </w:pPr>
      <w:r w:rsidRPr="00BA3630">
        <w:rPr>
          <w:rFonts w:asciiTheme="minorHAnsi" w:hAnsiTheme="minorHAnsi" w:cstheme="minorHAnsi"/>
          <w:sz w:val="24"/>
        </w:rPr>
        <w:t>2</w:t>
      </w:r>
      <w:r w:rsidR="00170B9D" w:rsidRPr="00BA3630">
        <w:rPr>
          <w:rFonts w:asciiTheme="minorHAnsi" w:hAnsiTheme="minorHAnsi" w:cstheme="minorHAnsi"/>
          <w:sz w:val="24"/>
        </w:rPr>
        <w:t xml:space="preserve">) </w:t>
      </w:r>
      <w:r w:rsidR="00076303" w:rsidRPr="00BA3630">
        <w:rPr>
          <w:rFonts w:asciiTheme="minorHAnsi" w:hAnsiTheme="minorHAnsi" w:cstheme="minorHAnsi"/>
          <w:sz w:val="24"/>
        </w:rPr>
        <w:t>Las inversiones financiadas mediante arrendamiento financiero o cualquier otra figura análoga.</w:t>
      </w:r>
    </w:p>
    <w:p w14:paraId="36182BC2" w14:textId="585389F7" w:rsidR="00170B9D" w:rsidRPr="00BA3630" w:rsidRDefault="00170B9D" w:rsidP="00561880">
      <w:pPr>
        <w:pStyle w:val="Prrafodelista"/>
        <w:ind w:left="0"/>
        <w:rPr>
          <w:rFonts w:asciiTheme="minorHAnsi" w:hAnsiTheme="minorHAnsi" w:cstheme="minorHAnsi"/>
          <w:sz w:val="24"/>
        </w:rPr>
      </w:pPr>
    </w:p>
    <w:p w14:paraId="30FA42B0" w14:textId="0621F121" w:rsidR="00076303" w:rsidRPr="00BA3630" w:rsidRDefault="003B411B" w:rsidP="00561880">
      <w:pPr>
        <w:pStyle w:val="Prrafodelista"/>
        <w:ind w:left="0"/>
        <w:rPr>
          <w:rFonts w:asciiTheme="minorHAnsi" w:hAnsiTheme="minorHAnsi" w:cstheme="minorHAnsi"/>
          <w:sz w:val="24"/>
        </w:rPr>
      </w:pPr>
      <w:r w:rsidRPr="00BA3630">
        <w:rPr>
          <w:rFonts w:asciiTheme="minorHAnsi" w:hAnsiTheme="minorHAnsi" w:cstheme="minorHAnsi"/>
          <w:sz w:val="24"/>
        </w:rPr>
        <w:t>3</w:t>
      </w:r>
      <w:r w:rsidR="00170B9D" w:rsidRPr="00BA3630">
        <w:rPr>
          <w:rFonts w:asciiTheme="minorHAnsi" w:hAnsiTheme="minorHAnsi" w:cstheme="minorHAnsi"/>
          <w:sz w:val="24"/>
        </w:rPr>
        <w:t xml:space="preserve">) </w:t>
      </w:r>
      <w:r w:rsidR="00076303" w:rsidRPr="00BA3630">
        <w:rPr>
          <w:rFonts w:asciiTheme="minorHAnsi" w:hAnsiTheme="minorHAnsi" w:cstheme="minorHAnsi"/>
          <w:sz w:val="24"/>
        </w:rPr>
        <w:t>Los impuestos y tasas.</w:t>
      </w:r>
    </w:p>
    <w:p w14:paraId="3B2E716F" w14:textId="7FC29227" w:rsidR="00170B9D" w:rsidRPr="00BA3630" w:rsidRDefault="00170B9D" w:rsidP="00561880">
      <w:pPr>
        <w:pStyle w:val="Prrafodelista"/>
        <w:ind w:left="0"/>
        <w:rPr>
          <w:rFonts w:asciiTheme="minorHAnsi" w:hAnsiTheme="minorHAnsi" w:cstheme="minorHAnsi"/>
          <w:sz w:val="24"/>
        </w:rPr>
      </w:pPr>
    </w:p>
    <w:p w14:paraId="3F82B1B1" w14:textId="3D1776B9" w:rsidR="00076303" w:rsidRPr="00BA3630" w:rsidRDefault="003B411B" w:rsidP="00561880">
      <w:pPr>
        <w:pStyle w:val="Prrafodelista"/>
        <w:ind w:left="0"/>
        <w:rPr>
          <w:rFonts w:asciiTheme="minorHAnsi" w:hAnsiTheme="minorHAnsi" w:cstheme="minorHAnsi"/>
          <w:sz w:val="24"/>
        </w:rPr>
      </w:pPr>
      <w:r w:rsidRPr="00BA3630">
        <w:rPr>
          <w:rFonts w:asciiTheme="minorHAnsi" w:hAnsiTheme="minorHAnsi" w:cstheme="minorHAnsi"/>
          <w:sz w:val="24"/>
        </w:rPr>
        <w:t>4</w:t>
      </w:r>
      <w:r w:rsidR="00170B9D" w:rsidRPr="00BA3630">
        <w:rPr>
          <w:rFonts w:asciiTheme="minorHAnsi" w:hAnsiTheme="minorHAnsi" w:cstheme="minorHAnsi"/>
          <w:sz w:val="24"/>
        </w:rPr>
        <w:t xml:space="preserve">) </w:t>
      </w:r>
      <w:r w:rsidR="00076303" w:rsidRPr="00BA3630">
        <w:rPr>
          <w:rFonts w:asciiTheme="minorHAnsi" w:hAnsiTheme="minorHAnsi" w:cstheme="minorHAnsi"/>
          <w:sz w:val="24"/>
        </w:rPr>
        <w:t>Gasto de</w:t>
      </w:r>
      <w:r w:rsidR="00170B9D" w:rsidRPr="00BA3630">
        <w:rPr>
          <w:rFonts w:asciiTheme="minorHAnsi" w:hAnsiTheme="minorHAnsi" w:cstheme="minorHAnsi"/>
          <w:sz w:val="24"/>
        </w:rPr>
        <w:t xml:space="preserve"> impresión de</w:t>
      </w:r>
      <w:r w:rsidR="00076303" w:rsidRPr="00BA3630">
        <w:rPr>
          <w:rFonts w:asciiTheme="minorHAnsi" w:hAnsiTheme="minorHAnsi" w:cstheme="minorHAnsi"/>
          <w:sz w:val="24"/>
        </w:rPr>
        <w:t xml:space="preserve"> material </w:t>
      </w:r>
      <w:r w:rsidR="00170B9D" w:rsidRPr="00BA3630">
        <w:rPr>
          <w:rFonts w:asciiTheme="minorHAnsi" w:hAnsiTheme="minorHAnsi" w:cstheme="minorHAnsi"/>
          <w:sz w:val="24"/>
        </w:rPr>
        <w:t>o</w:t>
      </w:r>
      <w:r w:rsidR="00076303" w:rsidRPr="00BA3630">
        <w:rPr>
          <w:rFonts w:asciiTheme="minorHAnsi" w:hAnsiTheme="minorHAnsi" w:cstheme="minorHAnsi"/>
          <w:sz w:val="24"/>
        </w:rPr>
        <w:t xml:space="preserve"> etiquetado, salvo el troquel y </w:t>
      </w:r>
      <w:r w:rsidRPr="00BA3630">
        <w:rPr>
          <w:rFonts w:asciiTheme="minorHAnsi" w:hAnsiTheme="minorHAnsi" w:cstheme="minorHAnsi"/>
          <w:sz w:val="24"/>
        </w:rPr>
        <w:t xml:space="preserve">el </w:t>
      </w:r>
      <w:r w:rsidR="00076303" w:rsidRPr="00BA3630">
        <w:rPr>
          <w:rFonts w:asciiTheme="minorHAnsi" w:hAnsiTheme="minorHAnsi" w:cstheme="minorHAnsi"/>
          <w:sz w:val="24"/>
        </w:rPr>
        <w:t xml:space="preserve">diseño </w:t>
      </w:r>
      <w:r w:rsidRPr="00BA3630">
        <w:rPr>
          <w:rFonts w:asciiTheme="minorHAnsi" w:hAnsiTheme="minorHAnsi" w:cstheme="minorHAnsi"/>
          <w:sz w:val="24"/>
        </w:rPr>
        <w:t xml:space="preserve">inicial </w:t>
      </w:r>
      <w:r w:rsidR="00076303" w:rsidRPr="00BA3630">
        <w:rPr>
          <w:rFonts w:asciiTheme="minorHAnsi" w:hAnsiTheme="minorHAnsi" w:cstheme="minorHAnsi"/>
          <w:sz w:val="24"/>
        </w:rPr>
        <w:t>del etiquetado.</w:t>
      </w:r>
    </w:p>
    <w:p w14:paraId="15017128" w14:textId="77777777" w:rsidR="00170B9D" w:rsidRPr="00BA3630" w:rsidRDefault="00170B9D" w:rsidP="00561880">
      <w:pPr>
        <w:pStyle w:val="Prrafodelista"/>
        <w:ind w:left="0"/>
        <w:rPr>
          <w:rFonts w:asciiTheme="minorHAnsi" w:hAnsiTheme="minorHAnsi" w:cstheme="minorHAnsi"/>
          <w:sz w:val="24"/>
        </w:rPr>
      </w:pPr>
    </w:p>
    <w:p w14:paraId="13E79CCF" w14:textId="383E4E62" w:rsidR="00076303" w:rsidRPr="00BA3630" w:rsidRDefault="003B411B" w:rsidP="00561880">
      <w:pPr>
        <w:pStyle w:val="Prrafodelista"/>
        <w:ind w:left="0"/>
        <w:rPr>
          <w:rFonts w:asciiTheme="minorHAnsi" w:hAnsiTheme="minorHAnsi" w:cstheme="minorHAnsi"/>
          <w:sz w:val="24"/>
        </w:rPr>
      </w:pPr>
      <w:r w:rsidRPr="00BA3630">
        <w:rPr>
          <w:rFonts w:asciiTheme="minorHAnsi" w:hAnsiTheme="minorHAnsi" w:cstheme="minorHAnsi"/>
          <w:sz w:val="24"/>
        </w:rPr>
        <w:t>5</w:t>
      </w:r>
      <w:r w:rsidR="00170B9D" w:rsidRPr="00BA3630">
        <w:rPr>
          <w:rFonts w:asciiTheme="minorHAnsi" w:hAnsiTheme="minorHAnsi" w:cstheme="minorHAnsi"/>
          <w:sz w:val="24"/>
        </w:rPr>
        <w:t xml:space="preserve">) </w:t>
      </w:r>
      <w:r w:rsidR="00076303" w:rsidRPr="00BA3630">
        <w:rPr>
          <w:rFonts w:asciiTheme="minorHAnsi" w:hAnsiTheme="minorHAnsi" w:cstheme="minorHAnsi"/>
          <w:sz w:val="24"/>
        </w:rPr>
        <w:t>Los incentivos o plus de comercialización para el personal contratado (laboral o mercantil).</w:t>
      </w:r>
    </w:p>
    <w:p w14:paraId="17424556" w14:textId="77777777" w:rsidR="00170B9D" w:rsidRPr="00BA3630" w:rsidRDefault="00170B9D" w:rsidP="00561880">
      <w:pPr>
        <w:pStyle w:val="Prrafodelista"/>
        <w:ind w:left="0"/>
        <w:rPr>
          <w:rFonts w:asciiTheme="minorHAnsi" w:hAnsiTheme="minorHAnsi" w:cstheme="minorHAnsi"/>
          <w:sz w:val="24"/>
        </w:rPr>
      </w:pPr>
    </w:p>
    <w:p w14:paraId="37776BF2" w14:textId="64E1A4A0" w:rsidR="00076303" w:rsidRPr="00BA3630" w:rsidRDefault="003B411B" w:rsidP="00561880">
      <w:pPr>
        <w:pStyle w:val="Prrafodelista"/>
        <w:ind w:left="0"/>
        <w:rPr>
          <w:rFonts w:asciiTheme="minorHAnsi" w:hAnsiTheme="minorHAnsi" w:cstheme="minorHAnsi"/>
          <w:sz w:val="24"/>
        </w:rPr>
      </w:pPr>
      <w:r w:rsidRPr="00BA3630">
        <w:rPr>
          <w:rFonts w:asciiTheme="minorHAnsi" w:hAnsiTheme="minorHAnsi" w:cstheme="minorHAnsi"/>
          <w:sz w:val="24"/>
        </w:rPr>
        <w:t>6</w:t>
      </w:r>
      <w:r w:rsidR="00170B9D" w:rsidRPr="00BA3630">
        <w:rPr>
          <w:rFonts w:asciiTheme="minorHAnsi" w:hAnsiTheme="minorHAnsi" w:cstheme="minorHAnsi"/>
          <w:sz w:val="24"/>
        </w:rPr>
        <w:t>) Gastos de indemnización de personal.</w:t>
      </w:r>
    </w:p>
    <w:p w14:paraId="2D52EE6E" w14:textId="6191C92D" w:rsidR="00170B9D" w:rsidRPr="00BA3630" w:rsidRDefault="00170B9D" w:rsidP="00561880">
      <w:pPr>
        <w:pStyle w:val="Prrafodelista"/>
        <w:ind w:left="0"/>
        <w:rPr>
          <w:rFonts w:asciiTheme="minorHAnsi" w:hAnsiTheme="minorHAnsi" w:cstheme="minorHAnsi"/>
          <w:sz w:val="24"/>
        </w:rPr>
      </w:pPr>
    </w:p>
    <w:p w14:paraId="19667579" w14:textId="7B52AF3F" w:rsidR="00DF2EB5" w:rsidRPr="00BA3630" w:rsidRDefault="003B411B" w:rsidP="00561880">
      <w:pPr>
        <w:pStyle w:val="Prrafodelista"/>
        <w:ind w:left="0"/>
        <w:rPr>
          <w:rFonts w:asciiTheme="minorHAnsi" w:hAnsiTheme="minorHAnsi" w:cstheme="minorHAnsi"/>
          <w:sz w:val="24"/>
        </w:rPr>
      </w:pPr>
      <w:r w:rsidRPr="00BA3630">
        <w:rPr>
          <w:rFonts w:asciiTheme="minorHAnsi" w:hAnsiTheme="minorHAnsi" w:cstheme="minorHAnsi"/>
          <w:sz w:val="24"/>
        </w:rPr>
        <w:t>7</w:t>
      </w:r>
      <w:r w:rsidR="003D3293" w:rsidRPr="00BA3630">
        <w:rPr>
          <w:rFonts w:asciiTheme="minorHAnsi" w:hAnsiTheme="minorHAnsi" w:cstheme="minorHAnsi"/>
          <w:sz w:val="24"/>
        </w:rPr>
        <w:t>) La adquisición de bienes de equipo usados.</w:t>
      </w:r>
    </w:p>
    <w:sectPr w:rsidR="00DF2EB5" w:rsidRPr="00BA363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26667" w14:textId="77777777" w:rsidR="00C81086" w:rsidRDefault="00C81086" w:rsidP="00076303">
      <w:r>
        <w:separator/>
      </w:r>
    </w:p>
  </w:endnote>
  <w:endnote w:type="continuationSeparator" w:id="0">
    <w:p w14:paraId="715DA5B6" w14:textId="77777777" w:rsidR="00C81086" w:rsidRDefault="00C81086" w:rsidP="0007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AB950" w14:textId="77777777" w:rsidR="00892CC2" w:rsidRDefault="00076303">
    <w:pPr>
      <w:pStyle w:val="Textoindependiente"/>
      <w:spacing w:line="14" w:lineRule="auto"/>
      <w:ind w:left="0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E15C3BD" wp14:editId="4402FE1B">
              <wp:simplePos x="0" y="0"/>
              <wp:positionH relativeFrom="page">
                <wp:posOffset>457200</wp:posOffset>
              </wp:positionH>
              <wp:positionV relativeFrom="page">
                <wp:posOffset>10168255</wp:posOffset>
              </wp:positionV>
              <wp:extent cx="664591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59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8B8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8F2182" id="Line 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800.65pt" to="559.3pt,8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" strokecolor="#b8b8b8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0C97A" w14:textId="77777777" w:rsidR="00C81086" w:rsidRDefault="00C81086" w:rsidP="00076303">
      <w:r>
        <w:separator/>
      </w:r>
    </w:p>
  </w:footnote>
  <w:footnote w:type="continuationSeparator" w:id="0">
    <w:p w14:paraId="438C60BC" w14:textId="77777777" w:rsidR="00C81086" w:rsidRDefault="00C81086" w:rsidP="00076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1067E" w14:textId="77777777" w:rsidR="00892CC2" w:rsidRDefault="00C81086">
    <w:pPr>
      <w:pStyle w:val="Textoindependiente"/>
      <w:spacing w:line="14" w:lineRule="auto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Vshs/68dSRiPvco+J5XDZeoUF4aka4VjAt5XFr4asDQgHlysL1aIdYZmgzSfwkoXS8g837MIFFRYI57siNkVCQ==" w:salt="eJ7NLSr932qpyddp6kL5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F9C"/>
    <w:rsid w:val="00076303"/>
    <w:rsid w:val="00083F9C"/>
    <w:rsid w:val="00170B9D"/>
    <w:rsid w:val="002544F4"/>
    <w:rsid w:val="003B411B"/>
    <w:rsid w:val="003D3293"/>
    <w:rsid w:val="004015DA"/>
    <w:rsid w:val="00561880"/>
    <w:rsid w:val="00615C29"/>
    <w:rsid w:val="00BA3630"/>
    <w:rsid w:val="00C81086"/>
    <w:rsid w:val="00DF2EB5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B8D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763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76303"/>
    <w:pPr>
      <w:ind w:left="290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76303"/>
    <w:rPr>
      <w:rFonts w:ascii="Arial" w:eastAsia="Arial" w:hAnsi="Arial" w:cs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076303"/>
    <w:pPr>
      <w:ind w:left="290"/>
      <w:jc w:val="both"/>
    </w:pPr>
  </w:style>
  <w:style w:type="character" w:styleId="Refdecomentario">
    <w:name w:val="annotation reference"/>
    <w:basedOn w:val="Fuentedeprrafopredeter"/>
    <w:uiPriority w:val="99"/>
    <w:semiHidden/>
    <w:unhideWhenUsed/>
    <w:rsid w:val="000763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30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303"/>
    <w:rPr>
      <w:rFonts w:ascii="Arial" w:eastAsia="Arial" w:hAnsi="Arial" w:cs="Arial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763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303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3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303"/>
    <w:rPr>
      <w:rFonts w:ascii="Segoe UI" w:eastAsia="Arial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0763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30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F5B97-8DAE-46A3-8C0A-CA4459CB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594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2022-06-09T12:26:00Z</dcterms:created>
  <dcterms:modified xsi:type="dcterms:W3CDTF">2022-07-05T11:47:00Z</dcterms:modified>
</cp:coreProperties>
</file>