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73F91">
                              <w:rPr>
                                <w:rFonts w:ascii="Arial" w:hAnsi="Arial" w:cs="Arial"/>
                                <w:b/>
                                <w:color w:val="000000"/>
                                <w:sz w:val="20"/>
                                <w:szCs w:val="20"/>
                              </w:rPr>
                              <w:t>036447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73F91">
                              <w:rPr>
                                <w:rFonts w:ascii="Arial" w:hAnsi="Arial" w:cs="Arial"/>
                                <w:b/>
                                <w:color w:val="000000"/>
                                <w:sz w:val="20"/>
                                <w:szCs w:val="20"/>
                              </w:rPr>
                              <w:t>KM4Y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73F91">
                              <w:rPr>
                                <w:rFonts w:ascii="Arial" w:hAnsi="Arial" w:cs="Arial"/>
                                <w:b/>
                                <w:bCs/>
                                <w:sz w:val="20"/>
                                <w:szCs w:val="20"/>
                              </w:rPr>
                              <w:t>FERIA WEB SUMMIT LISBOA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73F91">
                        <w:rPr>
                          <w:rFonts w:ascii="Arial" w:hAnsi="Arial" w:cs="Arial"/>
                          <w:b/>
                          <w:color w:val="000000"/>
                          <w:sz w:val="20"/>
                          <w:szCs w:val="20"/>
                        </w:rPr>
                        <w:t>036447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73F91">
                        <w:rPr>
                          <w:rFonts w:ascii="Arial" w:hAnsi="Arial" w:cs="Arial"/>
                          <w:b/>
                          <w:color w:val="000000"/>
                          <w:sz w:val="20"/>
                          <w:szCs w:val="20"/>
                        </w:rPr>
                        <w:t>KM4Y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73F91">
                        <w:rPr>
                          <w:rFonts w:ascii="Arial" w:hAnsi="Arial" w:cs="Arial"/>
                          <w:b/>
                          <w:bCs/>
                          <w:sz w:val="20"/>
                          <w:szCs w:val="20"/>
                        </w:rPr>
                        <w:t>FERIA WEB SUMMIT LISBOA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E73F91">
              <w:rPr>
                <w:sz w:val="20"/>
                <w:szCs w:val="20"/>
              </w:rPr>
            </w:r>
            <w:r w:rsidR="00E73F91">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73F91">
              <w:rPr>
                <w:sz w:val="20"/>
                <w:szCs w:val="20"/>
              </w:rPr>
            </w:r>
            <w:r w:rsidR="00E73F91">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73F91">
              <w:rPr>
                <w:sz w:val="20"/>
                <w:szCs w:val="20"/>
              </w:rPr>
            </w:r>
            <w:r w:rsidR="00E73F91">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73F91">
              <w:rPr>
                <w:color w:val="000000"/>
                <w:sz w:val="20"/>
                <w:szCs w:val="20"/>
              </w:rPr>
            </w:r>
            <w:r w:rsidR="00E73F91">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73F91">
              <w:rPr>
                <w:color w:val="000000"/>
                <w:sz w:val="20"/>
                <w:szCs w:val="20"/>
              </w:rPr>
            </w:r>
            <w:r w:rsidR="00E73F91">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E73F91">
              <w:rPr>
                <w:sz w:val="20"/>
                <w:szCs w:val="20"/>
              </w:rPr>
            </w:r>
            <w:r w:rsidR="00E73F91">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73F91">
              <w:rPr>
                <w:sz w:val="20"/>
                <w:szCs w:val="20"/>
              </w:rPr>
            </w:r>
            <w:r w:rsidR="00E73F91">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73F91">
              <w:rPr>
                <w:sz w:val="20"/>
                <w:szCs w:val="20"/>
              </w:rPr>
            </w:r>
            <w:r w:rsidR="00E73F91">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73F91">
              <w:rPr>
                <w:color w:val="000000"/>
                <w:sz w:val="20"/>
                <w:szCs w:val="20"/>
              </w:rPr>
            </w:r>
            <w:r w:rsidR="00E73F91">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73F91">
              <w:rPr>
                <w:color w:val="000000"/>
                <w:sz w:val="20"/>
                <w:szCs w:val="20"/>
              </w:rPr>
            </w:r>
            <w:r w:rsidR="00E73F91">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E73F91">
              <w:rPr>
                <w:sz w:val="20"/>
                <w:szCs w:val="20"/>
              </w:rPr>
            </w:r>
            <w:r w:rsidR="00E73F91">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73F91">
              <w:rPr>
                <w:sz w:val="20"/>
                <w:szCs w:val="20"/>
              </w:rPr>
            </w:r>
            <w:r w:rsidR="00E73F91">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73F91">
              <w:rPr>
                <w:sz w:val="20"/>
                <w:szCs w:val="20"/>
              </w:rPr>
            </w:r>
            <w:r w:rsidR="00E73F91">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73F91">
              <w:rPr>
                <w:sz w:val="20"/>
                <w:szCs w:val="20"/>
              </w:rPr>
            </w:r>
            <w:r w:rsidR="00E73F91">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73F91">
              <w:rPr>
                <w:sz w:val="20"/>
                <w:szCs w:val="20"/>
              </w:rPr>
            </w:r>
            <w:r w:rsidR="00E73F91">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73F91">
              <w:rPr>
                <w:sz w:val="20"/>
                <w:szCs w:val="20"/>
              </w:rPr>
            </w:r>
            <w:r w:rsidR="00E73F91">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73F91">
              <w:rPr>
                <w:sz w:val="20"/>
                <w:szCs w:val="20"/>
              </w:rPr>
            </w:r>
            <w:r w:rsidR="00E73F91">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73F91">
              <w:rPr>
                <w:sz w:val="20"/>
                <w:szCs w:val="20"/>
              </w:rPr>
            </w:r>
            <w:r w:rsidR="00E73F91">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m2FTl0BdV1saKrEG4YjBo8SfUa59VwlU2K+jMXpsckEXCSKXu8szayvKrRT0WurdyTJAp/xiGnqjQ7nXZeW4g==" w:salt="nnGhAwJOe4mZTA7nD8wOo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3F91"/>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36A5E8E7"/>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1B851-604F-4F90-BB71-3EA01A63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2025-06-27T11:26:00Z</dcterms:modified>
</cp:coreProperties>
</file>