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4510B" w:rsidRPr="007B7BB6" w14:paraId="158FB820" w14:textId="77777777" w:rsidTr="002C6973">
        <w:tc>
          <w:tcPr>
            <w:tcW w:w="8642" w:type="dxa"/>
            <w:tcBorders>
              <w:bottom w:val="single" w:sz="4" w:space="0" w:color="auto"/>
            </w:tcBorders>
          </w:tcPr>
          <w:p w14:paraId="2A2C2F84" w14:textId="77777777" w:rsidR="00C4510B" w:rsidRPr="007B7BB6" w:rsidRDefault="00C4510B" w:rsidP="002C697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Anexo II</w:t>
            </w:r>
          </w:p>
          <w:p w14:paraId="7C279518" w14:textId="77777777" w:rsidR="00C4510B" w:rsidRPr="007B7BB6" w:rsidRDefault="00C4510B" w:rsidP="00C451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7BB6">
              <w:rPr>
                <w:rFonts w:ascii="Arial" w:hAnsi="Arial" w:cs="Arial"/>
                <w:color w:val="000000"/>
                <w:sz w:val="20"/>
                <w:szCs w:val="20"/>
              </w:rPr>
              <w:t>Estándares de Calidad</w:t>
            </w:r>
          </w:p>
        </w:tc>
      </w:tr>
    </w:tbl>
    <w:p w14:paraId="45976796" w14:textId="77777777" w:rsidR="00C4510B" w:rsidRPr="007B7BB6" w:rsidRDefault="00C4510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C6DB5AA" w14:textId="77777777" w:rsidR="009D5D97" w:rsidRPr="007B7BB6" w:rsidRDefault="009D5D97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7DF223B" w14:textId="77777777" w:rsidR="0053445B" w:rsidRPr="007B7BB6" w:rsidRDefault="0053445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I. Principios básicos.</w:t>
      </w:r>
    </w:p>
    <w:p w14:paraId="46312BB7" w14:textId="77777777" w:rsidR="00C63E62" w:rsidRPr="007B7BB6" w:rsidRDefault="00C63E6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66F61A" w14:textId="77777777" w:rsidR="0053445B" w:rsidRPr="007B7BB6" w:rsidRDefault="0053445B" w:rsidP="00C4510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Inclusión y diversidad: las organizaciones beneficiarias deben respetar los principios de</w:t>
      </w:r>
    </w:p>
    <w:p w14:paraId="73FC2F7D" w14:textId="77777777" w:rsidR="00C4510B" w:rsidRPr="007B7BB6" w:rsidRDefault="0053445B" w:rsidP="00C4510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inclusión y diversidad en todos los aspectos de sus actividades. Deben garantizar unas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condiciones justas y equitativas para todos los participantes.</w:t>
      </w:r>
    </w:p>
    <w:p w14:paraId="2CB6CBC4" w14:textId="77777777" w:rsidR="00483C3F" w:rsidRPr="007B7BB6" w:rsidRDefault="0053445B" w:rsidP="00483C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Siempre que sea posible, las organizaciones beneficiarias deben hacer participar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activamente e involucrar en sus actividades a participantes con menos oportunidades. Las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organizaciones beneficiarias deben aprovechar al máximo las herramientas y la financiación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previstas al efecto por el programa.</w:t>
      </w:r>
    </w:p>
    <w:p w14:paraId="7BB3F3B1" w14:textId="77777777" w:rsidR="00483C3F" w:rsidRPr="007B7BB6" w:rsidRDefault="00483C3F" w:rsidP="00483C3F">
      <w:pPr>
        <w:pStyle w:val="Prrafodelista"/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0"/>
          <w:szCs w:val="20"/>
        </w:rPr>
      </w:pPr>
    </w:p>
    <w:p w14:paraId="4198D72B" w14:textId="77777777" w:rsidR="0053445B" w:rsidRPr="007B7BB6" w:rsidRDefault="0053445B" w:rsidP="00483C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Sostenibilidad y responsabilidad medioambientales: las organizaciones beneficiarias deben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promover entre sus participantes un comportamiento responsable y sostenible desde el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punto de vista medioambiental. Deben aprovechar al máximo la financiación proporcionada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por el programa para apoyar los medios de viaje sostenibles.</w:t>
      </w:r>
    </w:p>
    <w:p w14:paraId="1F836EDB" w14:textId="77777777" w:rsidR="00483C3F" w:rsidRPr="007B7BB6" w:rsidRDefault="00483C3F" w:rsidP="00483C3F">
      <w:pPr>
        <w:pStyle w:val="Prrafodelista"/>
        <w:rPr>
          <w:rFonts w:ascii="Arial" w:hAnsi="Arial" w:cs="Arial"/>
          <w:sz w:val="20"/>
          <w:szCs w:val="20"/>
        </w:rPr>
      </w:pPr>
    </w:p>
    <w:p w14:paraId="1040800F" w14:textId="77777777" w:rsidR="0053445B" w:rsidRPr="007B7BB6" w:rsidRDefault="0053445B" w:rsidP="006615E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Educación digital, incluyendo cooperación virtual, movilidad virtual y movilidad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combinada: las organizaciones beneficiarias deben utilizar herramientas digitales y métodos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 aprendizaje para complementar sus actividades de movilidad física y mejorar la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cooperación con las organizaciones asociadas. Para ello deben aprovechar al máximo las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herramientas digitales, las plataformas en línea y otras oportunidades que ofrece el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programa para este fin.</w:t>
      </w:r>
    </w:p>
    <w:p w14:paraId="157D7148" w14:textId="77777777" w:rsidR="00483C3F" w:rsidRPr="007B7BB6" w:rsidRDefault="00483C3F" w:rsidP="00483C3F">
      <w:pPr>
        <w:pStyle w:val="Prrafodelista"/>
        <w:rPr>
          <w:rFonts w:ascii="Arial" w:hAnsi="Arial" w:cs="Arial"/>
          <w:sz w:val="20"/>
          <w:szCs w:val="20"/>
        </w:rPr>
      </w:pPr>
    </w:p>
    <w:p w14:paraId="086F829E" w14:textId="77777777" w:rsidR="0053445B" w:rsidRPr="007B7BB6" w:rsidRDefault="0053445B" w:rsidP="00483C3F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Participación activa en la red de organizaciones Erasmus: uno de los principales objetivos</w:t>
      </w:r>
      <w:r w:rsidR="00C4510B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del Programa es apoyar el desarrollo del Espacio Europeo de Educación. Las</w:t>
      </w:r>
    </w:p>
    <w:p w14:paraId="38F2A85D" w14:textId="77777777" w:rsidR="0053445B" w:rsidRPr="007B7BB6" w:rsidRDefault="0053445B" w:rsidP="00483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organizaciones beneficiarias deben tratar de convertirse en miembros activos de la red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Erasmus, por ejemplo, acogiendo participantes de otros países, o participando en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intercambios de buenas prácticas y otras actividades de contacto organizadas por las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agencias nacionales u otras organizaciones. Las organizaciones con experiencia deben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compartir sus conocimientos con otras organizaciones que tienen menos experiencia en el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Programa proporcionando asesoramiento, tutoría u otro tipo de apoyo. Cuando sea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relevante, las organizaciones beneficiarias deberían alentar a sus participantes a participar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en actividades y redes de antiguos alumnos.</w:t>
      </w:r>
    </w:p>
    <w:p w14:paraId="5031BDC4" w14:textId="77777777" w:rsidR="00483C3F" w:rsidRPr="007B7BB6" w:rsidRDefault="00483C3F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1F49FB12" w14:textId="77777777" w:rsidR="0053445B" w:rsidRPr="007B7BB6" w:rsidRDefault="0053445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II. Buena gestión de las actividades de movilidad</w:t>
      </w:r>
      <w:r w:rsidR="00C63E62" w:rsidRPr="007B7BB6">
        <w:rPr>
          <w:rFonts w:ascii="Arial" w:hAnsi="Arial" w:cs="Arial"/>
          <w:sz w:val="20"/>
          <w:szCs w:val="20"/>
        </w:rPr>
        <w:t>.</w:t>
      </w:r>
    </w:p>
    <w:p w14:paraId="7431A678" w14:textId="77777777" w:rsidR="00C63E62" w:rsidRPr="007B7BB6" w:rsidRDefault="00C63E6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CC4DFE" w14:textId="77777777" w:rsidR="0053445B" w:rsidRPr="007B7BB6" w:rsidRDefault="0053445B" w:rsidP="00483C3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Mantenimiento de la titularidad de las tareas fundamentales: las organizaciones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beneficiarias deben mantener la titularidad de las tareas fundamentales de ejecución y no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pueden externalizarlas a otras organizaciones.</w:t>
      </w:r>
    </w:p>
    <w:p w14:paraId="4BD8E19D" w14:textId="77777777" w:rsidR="00483C3F" w:rsidRPr="007B7BB6" w:rsidRDefault="00483C3F" w:rsidP="00483C3F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5423CB" w14:textId="77777777" w:rsidR="0053445B" w:rsidRPr="007B7BB6" w:rsidRDefault="0053445B" w:rsidP="00483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Las tareas fundamentales incluyen la gestión financiera de los fondos del programa, el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contacto con la Agencia Nacional, la presentación de informes sobre las actividades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realizadas, así como todas las decisiones que afecten directamente al contenido, la calidad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y los resultados de las actividades ejecutadas (como la elección del tipo de actividad, la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duración y la organización de acogida, la definición y la evaluación de los resultados del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aprendizaje, etc.).</w:t>
      </w:r>
    </w:p>
    <w:p w14:paraId="68EE01D4" w14:textId="77777777" w:rsidR="00483C3F" w:rsidRPr="007B7BB6" w:rsidRDefault="00483C3F" w:rsidP="0053445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333333"/>
          <w:sz w:val="20"/>
          <w:szCs w:val="20"/>
        </w:rPr>
      </w:pPr>
    </w:p>
    <w:p w14:paraId="0DC90F1D" w14:textId="77777777" w:rsidR="0053445B" w:rsidRPr="007B7BB6" w:rsidRDefault="0053445B" w:rsidP="00483C3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lastRenderedPageBreak/>
        <w:t>Organizaciones de apoyo, transparencia y responsabilidad: en los aspectos prácticos de la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ejecución del proyecto, las organizaciones beneficiarias podrán recibir asesoramiento,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asistencia o servicios de otras organizaciones, siempre que las organizaciones beneficiarias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mantengan el control sobre el contenido, la calidad y los resultados de las actividades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llevadas a cabo, tal y como se describe en el punto relativo a las tareas fundamentales.</w:t>
      </w:r>
    </w:p>
    <w:p w14:paraId="755590FE" w14:textId="77777777" w:rsidR="00483C3F" w:rsidRPr="007B7BB6" w:rsidRDefault="00483C3F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6EA848B9" w14:textId="77777777" w:rsidR="0053445B" w:rsidRPr="007B7BB6" w:rsidRDefault="0053445B" w:rsidP="00483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Si las organizaciones beneficiarias utilizan fondos del programa para pagar a otras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organizaciones con el fin de llevar a cabo tareas de gestión y ejecución específicas, las</w:t>
      </w:r>
    </w:p>
    <w:p w14:paraId="48FAC323" w14:textId="77777777" w:rsidR="0053445B" w:rsidRPr="007B7BB6" w:rsidRDefault="0053445B" w:rsidP="00483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obligaciones de estas organizaciones deben definirse formalmente para garantizar el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cumplimiento de los estándares de calidad Erasmus y la protección de los fondos de la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Unión. Los siguientes elementos deben incluirse en el acuerdo formal entre el beneficiario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y el prestador del servicio: las tareas que deben llevarse a cabo, los mecanismos de control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 la calidad, las consecuencias en caso de ausencia de resultados o resultados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insatisfactorios y mecanismos de flexibilidad en caso de cancelación o reprogramación de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los servicios acordados que garanticen una distribución justa y equilibrada de los riesgos en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caso de acontecimientos imprevistos. La documentación que defina estas obligaciones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debe estar a disposición de la Agencia Nacional para su revisión.</w:t>
      </w:r>
    </w:p>
    <w:p w14:paraId="571CFF23" w14:textId="77777777" w:rsidR="00483C3F" w:rsidRPr="007B7BB6" w:rsidRDefault="00483C3F" w:rsidP="00483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333333"/>
          <w:sz w:val="20"/>
          <w:szCs w:val="20"/>
        </w:rPr>
      </w:pPr>
    </w:p>
    <w:p w14:paraId="0E74D15D" w14:textId="77777777" w:rsidR="0053445B" w:rsidRPr="007B7BB6" w:rsidRDefault="0053445B" w:rsidP="00483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Las organizaciones que apoyen al beneficiario, de manera remunerada o voluntaria,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mediante tareas de gestión y ejecución específicas, serán consideradas organizaciones de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apoyo y deberán estar registradas en las herramientas oficiales de elaboración de informes.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La participación de las organizaciones de apoyo debe aportar beneficios claros al desarrollo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organizativo de la organización beneficiaria y a la calidad de las actividades de movilidad.</w:t>
      </w:r>
    </w:p>
    <w:p w14:paraId="329082A0" w14:textId="77777777" w:rsidR="00483C3F" w:rsidRPr="007B7BB6" w:rsidRDefault="00483C3F" w:rsidP="00483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CF0038C" w14:textId="77777777" w:rsidR="0053445B" w:rsidRPr="007B7BB6" w:rsidRDefault="0053445B" w:rsidP="00483C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En todos los casos, la organización beneficiaria seguirá siendo responsable de los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resultados y la calidad de las actividades realizadas, independientemente de la participación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 otras organizaciones.</w:t>
      </w:r>
    </w:p>
    <w:p w14:paraId="4EC50061" w14:textId="77777777" w:rsidR="00483C3F" w:rsidRPr="007B7BB6" w:rsidRDefault="00483C3F" w:rsidP="0053445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333333"/>
          <w:sz w:val="20"/>
          <w:szCs w:val="20"/>
        </w:rPr>
      </w:pPr>
    </w:p>
    <w:p w14:paraId="76AC6014" w14:textId="77777777" w:rsidR="0053445B" w:rsidRPr="007B7BB6" w:rsidRDefault="0053445B" w:rsidP="00483C3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Aportaciones abonadas por los participantes: como forma de cofinanciación, la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organización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beneficiaria podrá pedir aportaciones a los participantes de las actividades de movilidad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para pagar los bienes y servicios necesarios para la realización de dichas actividades. Las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contribuciones de los participantes deben ser proporcionales a la subvención concedida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para la realización de la actividad, justificarse claramente, cobrarse sin ánimo de lucro y no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poner obstáculos injustos a la participación (especialmente en lo que se refiere a los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participantes con menos oportunidades). Las organizaciones de apoyo u otros proveedores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 servicios seleccionados por la organización beneficiaria no pueden cobrar tasas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adicionales u otras aportaciones a los participantes.</w:t>
      </w:r>
    </w:p>
    <w:p w14:paraId="4DEECD1C" w14:textId="77777777" w:rsidR="00483C3F" w:rsidRPr="007B7BB6" w:rsidRDefault="0053445B" w:rsidP="0053445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333333"/>
          <w:sz w:val="20"/>
          <w:szCs w:val="20"/>
        </w:rPr>
      </w:pPr>
      <w:r w:rsidRPr="007B7BB6">
        <w:rPr>
          <w:rFonts w:ascii="Arial" w:eastAsia="SymbolMT" w:hAnsi="Arial" w:cs="Arial"/>
          <w:color w:val="333333"/>
          <w:sz w:val="20"/>
          <w:szCs w:val="20"/>
        </w:rPr>
        <w:t xml:space="preserve"> </w:t>
      </w:r>
    </w:p>
    <w:p w14:paraId="5D3F9019" w14:textId="77777777" w:rsidR="0053445B" w:rsidRPr="007B7BB6" w:rsidRDefault="0053445B" w:rsidP="00483C3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Integración de los resultados de las actividades de movilidad en la organización: las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organizaciones beneficiarias deben integrar los resultados de las actividades de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movilidad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implementadas (por ejemplo, los conocimientos adquiridos por el personal en el desarrollo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profesional) en su trabajo habitual, a fin de beneficiar a la organización en su conjunto, a su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personal y a sus alumnos.</w:t>
      </w:r>
    </w:p>
    <w:p w14:paraId="6A88029F" w14:textId="77777777" w:rsidR="00483C3F" w:rsidRPr="007B7BB6" w:rsidRDefault="0053445B" w:rsidP="00483C3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7ED96B0B" w14:textId="77777777" w:rsidR="0053445B" w:rsidRPr="007B7BB6" w:rsidRDefault="0053445B" w:rsidP="00483C3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Desarrollo de capacidades: las organizaciones beneficiarias deben utilizar los fondos del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programa (y, en particular, el apoyo organizativo) de manera que aumente gradualmente su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capacidad para trabajar a escala internacional sobre una base sostenible a largo plazo. De</w:t>
      </w:r>
      <w:r w:rsidR="00483C3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esta forma, podrán beneficiarse todas las organizaciones de un consorcio de movilidad.</w:t>
      </w:r>
    </w:p>
    <w:p w14:paraId="75EC8AAA" w14:textId="77777777" w:rsidR="00DF592F" w:rsidRPr="007B7BB6" w:rsidRDefault="0053445B" w:rsidP="0053445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333333"/>
          <w:sz w:val="20"/>
          <w:szCs w:val="20"/>
        </w:rPr>
      </w:pPr>
      <w:r w:rsidRPr="007B7BB6">
        <w:rPr>
          <w:rFonts w:ascii="Arial" w:eastAsia="SymbolMT" w:hAnsi="Arial" w:cs="Arial"/>
          <w:color w:val="333333"/>
          <w:sz w:val="20"/>
          <w:szCs w:val="20"/>
        </w:rPr>
        <w:t xml:space="preserve"> </w:t>
      </w:r>
    </w:p>
    <w:p w14:paraId="0E909DC3" w14:textId="77777777" w:rsidR="0053445B" w:rsidRPr="007B7BB6" w:rsidRDefault="0053445B" w:rsidP="00DF592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Actualizaciones periódicas: las organizaciones beneficiarias deben codificar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periódicamente la información sobre las actividades de movilidad previstas y terminadas en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los instrumentos proporcionados a tal efecto por la Comisión Europea</w:t>
      </w:r>
    </w:p>
    <w:p w14:paraId="5D00FB02" w14:textId="77777777" w:rsidR="00DF592F" w:rsidRPr="007B7BB6" w:rsidRDefault="0053445B" w:rsidP="0053445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333333"/>
          <w:sz w:val="20"/>
          <w:szCs w:val="20"/>
        </w:rPr>
      </w:pPr>
      <w:r w:rsidRPr="007B7BB6">
        <w:rPr>
          <w:rFonts w:ascii="Arial" w:eastAsia="SymbolMT" w:hAnsi="Arial" w:cs="Arial"/>
          <w:color w:val="333333"/>
          <w:sz w:val="20"/>
          <w:szCs w:val="20"/>
        </w:rPr>
        <w:t xml:space="preserve"> </w:t>
      </w:r>
    </w:p>
    <w:p w14:paraId="09AA6C46" w14:textId="77777777" w:rsidR="0053445B" w:rsidRPr="007B7BB6" w:rsidRDefault="0053445B" w:rsidP="00DF592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lastRenderedPageBreak/>
        <w:t>Recopilación y uso de los comentarios de los participantes: las organizaciones beneficiarias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deben asegurarse de que los participantes completan el informe tipo sobre sus actividades,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facilitado por la Comisión Europea. Las organizaciones beneficiarias deben utilizar las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opiniones facilitadas por los participantes para mejorar sus actividades futuras.</w:t>
      </w:r>
    </w:p>
    <w:p w14:paraId="6A086629" w14:textId="77777777" w:rsidR="00DF592F" w:rsidRPr="007B7BB6" w:rsidRDefault="0053445B" w:rsidP="0053445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333333"/>
          <w:sz w:val="20"/>
          <w:szCs w:val="20"/>
        </w:rPr>
      </w:pPr>
      <w:r w:rsidRPr="007B7BB6">
        <w:rPr>
          <w:rFonts w:ascii="Arial" w:eastAsia="SymbolMT" w:hAnsi="Arial" w:cs="Arial"/>
          <w:color w:val="333333"/>
          <w:sz w:val="20"/>
          <w:szCs w:val="20"/>
        </w:rPr>
        <w:t xml:space="preserve"> </w:t>
      </w:r>
    </w:p>
    <w:p w14:paraId="5F441D97" w14:textId="77777777" w:rsidR="0053445B" w:rsidRPr="007B7BB6" w:rsidRDefault="0053445B" w:rsidP="00DF592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Asignación de tareas: La asignación de tareas entre el coordinador y las organizaciones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miembro debe acordarse de antemano. Las tareas (incluidas las tareas básicas) deben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dividirse de la manera que mejor permita a las organizaciones participantes perseguir sus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objetivos y desarrollar nuevas capacidades.</w:t>
      </w:r>
    </w:p>
    <w:p w14:paraId="53301CDF" w14:textId="77777777" w:rsidR="00DF592F" w:rsidRPr="007B7BB6" w:rsidRDefault="0053445B" w:rsidP="00DF5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77D069E1" w14:textId="77777777" w:rsidR="0053445B" w:rsidRPr="007B7BB6" w:rsidRDefault="0053445B" w:rsidP="00DF592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Asignación de fondos: la financiación concedida para las actividades del consorcio debe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dividirse entre el coordinador del consorcio y las organizaciones miembros de manera justa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y transparente, en proporción a las tareas y necesidades de las organizaciones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participantes.</w:t>
      </w:r>
    </w:p>
    <w:p w14:paraId="117AD8E6" w14:textId="77777777" w:rsidR="00DF592F" w:rsidRPr="007B7BB6" w:rsidRDefault="0053445B" w:rsidP="0053445B">
      <w:pPr>
        <w:autoSpaceDE w:val="0"/>
        <w:autoSpaceDN w:val="0"/>
        <w:adjustRightInd w:val="0"/>
        <w:spacing w:after="0" w:line="240" w:lineRule="auto"/>
        <w:rPr>
          <w:rFonts w:ascii="Arial" w:eastAsia="SymbolMT" w:hAnsi="Arial" w:cs="Arial"/>
          <w:color w:val="333333"/>
          <w:sz w:val="20"/>
          <w:szCs w:val="20"/>
        </w:rPr>
      </w:pPr>
      <w:r w:rsidRPr="007B7BB6">
        <w:rPr>
          <w:rFonts w:ascii="Arial" w:eastAsia="SymbolMT" w:hAnsi="Arial" w:cs="Arial"/>
          <w:color w:val="333333"/>
          <w:sz w:val="20"/>
          <w:szCs w:val="20"/>
        </w:rPr>
        <w:t xml:space="preserve"> </w:t>
      </w:r>
    </w:p>
    <w:p w14:paraId="30DFA248" w14:textId="77777777" w:rsidR="0053445B" w:rsidRPr="007B7BB6" w:rsidRDefault="0053445B" w:rsidP="00DF592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Toma de decisiones conjunta: las organizaciones miembros del consorcio deben participar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en las decisiones que afecten a sus actividades y a sus participantes.</w:t>
      </w:r>
    </w:p>
    <w:p w14:paraId="0E617CE0" w14:textId="77777777" w:rsidR="00DF592F" w:rsidRPr="007B7BB6" w:rsidRDefault="0053445B" w:rsidP="00DF5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4D00533F" w14:textId="77777777" w:rsidR="0053445B" w:rsidRPr="007B7BB6" w:rsidRDefault="0053445B" w:rsidP="00DF592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Elección y colaboración con organizaciones de acogida: las organizaciones miembros del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consorcio deben participar en la elección de las organizaciones de acogida y deben tener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la posibilidad de contactarlas directamente.</w:t>
      </w:r>
    </w:p>
    <w:p w14:paraId="208688BB" w14:textId="77777777" w:rsidR="00DF592F" w:rsidRPr="007B7BB6" w:rsidRDefault="0053445B" w:rsidP="00DF592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6438368A" w14:textId="77777777" w:rsidR="0053445B" w:rsidRPr="007B7BB6" w:rsidRDefault="0053445B" w:rsidP="00DF592F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Intercambio de conocimientos y recursos: si el coordinador ha formado el consorcio para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promover y coordinar las actividades del programa en su ámbito de responsabilidad, debe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desempeñar un papel activo en el desarrollo de la capacidad de las organizaciones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miembros del consorcio, por ejemplo, impartiendo formación a su personal, poniéndolos en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contacto con nuevos socios de acogida o demostrando buenas prácticas.</w:t>
      </w:r>
    </w:p>
    <w:p w14:paraId="5B912658" w14:textId="77777777" w:rsidR="00DF592F" w:rsidRPr="007B7BB6" w:rsidRDefault="00DF592F" w:rsidP="00DF59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78F27B" w14:textId="77777777" w:rsidR="0053445B" w:rsidRPr="007B7BB6" w:rsidRDefault="0053445B" w:rsidP="00DF592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En este tipo de consorcio, el coordinador debe apoyar activamente a las organizaciones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miembros en el cumplimiento de los estándares de calidad Erasmus y garantizar que los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miembros del consorcio participen adecuadamente en las tareas que afecten directamente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 sus participantes (por ejemplo, la selección, el seguimiento o la definición de los resultados</w:t>
      </w:r>
      <w:r w:rsidR="00DF592F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del aprendizaje).</w:t>
      </w:r>
    </w:p>
    <w:p w14:paraId="3CFB43D5" w14:textId="77777777" w:rsidR="00DF592F" w:rsidRPr="007B7BB6" w:rsidRDefault="00DF592F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14:paraId="0E66127B" w14:textId="77777777" w:rsidR="0053445B" w:rsidRPr="007B7BB6" w:rsidRDefault="0053445B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III. Calidad y apoyo a los participantes</w:t>
      </w:r>
      <w:r w:rsidR="00C63E62" w:rsidRPr="007B7BB6">
        <w:rPr>
          <w:rFonts w:ascii="Arial" w:hAnsi="Arial" w:cs="Arial"/>
          <w:sz w:val="20"/>
          <w:szCs w:val="20"/>
        </w:rPr>
        <w:t>.</w:t>
      </w:r>
    </w:p>
    <w:p w14:paraId="7CDFB2D3" w14:textId="77777777" w:rsidR="00C63E62" w:rsidRPr="007B7BB6" w:rsidRDefault="00C63E62" w:rsidP="00534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DC470F" w14:textId="77777777" w:rsidR="0053445B" w:rsidRPr="007B7BB6" w:rsidRDefault="0053445B" w:rsidP="00C63E62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Disposiciones prácticas: las organizaciones beneficiarias deben garantizar la calidad de las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medidas prácticas y logísticas (viaje, alojamiento, solicitudes de visado, seguridad social,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etc.). Si estas tareas se delegan en el participante o en un proveedor de servicios, la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organización beneficiaria seguirá siendo responsable en última instancia de verificar su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suministro y calidad.</w:t>
      </w:r>
    </w:p>
    <w:p w14:paraId="199ECE69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7C616250" w14:textId="77777777" w:rsidR="0053445B" w:rsidRPr="007B7BB6" w:rsidRDefault="0053445B" w:rsidP="00A63DDE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Salud, seguridad y respeto de la normativa aplicable: todas las actividades deben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organizarse con un alto nivel de seguridad y protección para los participantes implicados y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deben respetar toda la normativa aplicable (por ejemplo, en relación con el consentimiento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parental, la edad mínima de los participantes, etc.). Las organizaciones beneficiarias deben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asegurarse de que sus participantes disponen de la cobertura de seguro adecuada, tal como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se define en las normas generales del programa y en el Reglamento aplicable.</w:t>
      </w:r>
    </w:p>
    <w:p w14:paraId="3F05A4E7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569405E9" w14:textId="77777777" w:rsidR="0053445B" w:rsidRPr="007B7BB6" w:rsidRDefault="0053445B" w:rsidP="00962CB3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Selección de los participantes: Los participantes deben ser seleccionados mediante un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procedimiento de selección transparente, justo e inclusivo.</w:t>
      </w:r>
    </w:p>
    <w:p w14:paraId="07B3AD3D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1309BEBA" w14:textId="77777777" w:rsidR="0053445B" w:rsidRPr="007B7BB6" w:rsidRDefault="0053445B" w:rsidP="00AE4546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lastRenderedPageBreak/>
        <w:t>Preparación: los participantes deberán recibir una preparación adecuada referida a los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aspectos práctico, profesional y cultural de su estancia en el país de acogida. La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preparación debe organizarse en colaboración con la organización de acogida (y, si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procede, las familias anfitrionas).</w:t>
      </w:r>
    </w:p>
    <w:p w14:paraId="77E69692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642B574C" w14:textId="77777777" w:rsidR="0053445B" w:rsidRPr="007B7BB6" w:rsidRDefault="0053445B" w:rsidP="00D00CBA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Supervisión y tutorización: cuando proceda, sobre la base de las características de la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actividad, las organizaciones de envío y de acogida deberán seleccionar a un tutor o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persona a cargo similar que hará un seguimiento del participante durante su estancia en la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organización de acogida y le ayudará a alcanzar los resultados del aprendizaje deseados.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Debe prestarse especial atención a la presentación y la integración de los participantes en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la organización de acogida, así como a la supervisión del proceso de aprendizaje.</w:t>
      </w:r>
    </w:p>
    <w:p w14:paraId="6DC0ECFA" w14:textId="77777777" w:rsidR="00C63E62" w:rsidRPr="007B7BB6" w:rsidRDefault="00C63E62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502204" w14:textId="77777777" w:rsidR="0053445B" w:rsidRPr="007B7BB6" w:rsidRDefault="0053445B" w:rsidP="007C3C0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Apoyo durante el desarrollo de la actividad: los participantes deberán poder solicitar y recibir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apoyo de sus organizaciones de acogida y envío en cualquier momento durante su actividad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 movilidad. Las personas de contacto en ambas organizaciones, los medios de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comunicación y los protocolos en caso de circunstancias excepcionales deben definirse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antes de que tenga lugar la actividad de movilidad. Todos los participantes deben ser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informados de estos acuerdos.</w:t>
      </w:r>
    </w:p>
    <w:p w14:paraId="2635BC36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76822567" w14:textId="77777777" w:rsidR="0053445B" w:rsidRPr="007B7BB6" w:rsidRDefault="0053445B" w:rsidP="001407B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Apoyo lingüístico: la organización beneficiaria deberá garantizar una formación lingüística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adecuada, adaptada a las necesidades personales y profesionales de los participantes. En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su caso, la organización beneficiaria deberá optimizar el uso de los instrumentos y fondos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específicos aportados por el programa para este fin.</w:t>
      </w:r>
    </w:p>
    <w:p w14:paraId="79E1CCB0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667667E8" w14:textId="77777777" w:rsidR="0053445B" w:rsidRPr="007B7BB6" w:rsidRDefault="0053445B" w:rsidP="006F4049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Definición de los resultados de aprendizaje: los resultados de aprendizaje previstos para el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período de movilidad deberán acordarse para cada participante o grupo de participantes.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Los resultados de aprendizaje deben acordarse entre las organizaciones de envío y de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acogida, así como el participante (en el caso de actividades individuales). La forma del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acuerdo dependerá del tipo de actividad.</w:t>
      </w:r>
    </w:p>
    <w:p w14:paraId="677D25BE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471DCA88" w14:textId="77777777" w:rsidR="0053445B" w:rsidRPr="007B7BB6" w:rsidRDefault="0053445B" w:rsidP="004B5022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Evaluación de los resultados de aprendizaje: los resultados de aprendizaje y otros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beneficios para los participantes deben evaluarse sistemáticamente. Los resultados de la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evaluación deben analizarse y utilizarse para mejorar las actividades futuras.</w:t>
      </w:r>
    </w:p>
    <w:p w14:paraId="5CEF9B72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6F2B4EA9" w14:textId="77777777" w:rsidR="0053445B" w:rsidRPr="007B7BB6" w:rsidRDefault="0053445B" w:rsidP="00D3177A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Reconocimiento de los resultados del aprendizaje: los resultados del aprendizaje formal,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informal y no formal y otros resultados alcanzados por los participantes en las actividades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de movilidad deben ser debidamente reconocidos en su organización de envío. Siempre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que sea posible, deben utilizarse los instrumentos europeos y nacionales disponibles para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el reconocimiento.</w:t>
      </w:r>
    </w:p>
    <w:p w14:paraId="6B7598F6" w14:textId="77777777" w:rsidR="00C63E62" w:rsidRPr="007B7BB6" w:rsidRDefault="00C63E62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7A010B" w14:textId="77777777" w:rsidR="0053445B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IV. Compartir los resultados y los conocimientos sobre el programa.</w:t>
      </w:r>
    </w:p>
    <w:p w14:paraId="7886B738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632FD055" w14:textId="77777777" w:rsidR="0053445B" w:rsidRPr="007B7BB6" w:rsidRDefault="0053445B" w:rsidP="00CC02DB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Compartir los resultados dentro de la organización: las organizaciones beneficiarias deben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hacer que su participación en el programa sea ampliamente conocida en la organización y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crear oportunidades para que los participantes compartan sus experiencias de movilidad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con sus homólogos. En el caso de los consorcios de movilidad, el intercambio debe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producirse en todo el consorcio.</w:t>
      </w:r>
    </w:p>
    <w:p w14:paraId="3C5849C9" w14:textId="77777777" w:rsidR="00C63E62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221375FE" w14:textId="77777777" w:rsidR="00327EA9" w:rsidRPr="007B7BB6" w:rsidRDefault="00327EA9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</w:p>
    <w:p w14:paraId="5FA2602C" w14:textId="77777777" w:rsidR="0053445B" w:rsidRPr="007B7BB6" w:rsidRDefault="0053445B" w:rsidP="009357B3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t>Compartir los resultados con otras organizaciones y el público: Las organizaciones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beneficiarias deben compartir los resultados de sus actividades con otras organizaciones y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el público.</w:t>
      </w:r>
    </w:p>
    <w:p w14:paraId="73505C16" w14:textId="77777777" w:rsidR="00C63E62" w:rsidRPr="007B7BB6" w:rsidRDefault="0053445B" w:rsidP="00C63E6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SymbolMT" w:hAnsi="Arial" w:cs="Arial"/>
          <w:sz w:val="20"/>
          <w:szCs w:val="20"/>
        </w:rPr>
      </w:pPr>
      <w:r w:rsidRPr="007B7BB6">
        <w:rPr>
          <w:rFonts w:ascii="Arial" w:eastAsia="SymbolMT" w:hAnsi="Arial" w:cs="Arial"/>
          <w:sz w:val="20"/>
          <w:szCs w:val="20"/>
        </w:rPr>
        <w:t xml:space="preserve"> </w:t>
      </w:r>
    </w:p>
    <w:p w14:paraId="6CE9AB9B" w14:textId="77777777" w:rsidR="009542FD" w:rsidRPr="007B7BB6" w:rsidRDefault="0053445B" w:rsidP="00307DA9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B6">
        <w:rPr>
          <w:rFonts w:ascii="Arial" w:hAnsi="Arial" w:cs="Arial"/>
          <w:sz w:val="20"/>
          <w:szCs w:val="20"/>
        </w:rPr>
        <w:lastRenderedPageBreak/>
        <w:t>Reconocimiento público de los fondos de la Unión Europea: las organizaciones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beneficiarias deben dar a conocer su participación en el programa en su comunidad y entre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el público en general. La organización beneficiaria también debe informar a todos los</w:t>
      </w:r>
      <w:r w:rsidR="00C63E62" w:rsidRPr="007B7BB6">
        <w:rPr>
          <w:rFonts w:ascii="Arial" w:hAnsi="Arial" w:cs="Arial"/>
          <w:sz w:val="20"/>
          <w:szCs w:val="20"/>
        </w:rPr>
        <w:t xml:space="preserve"> </w:t>
      </w:r>
      <w:r w:rsidRPr="007B7BB6">
        <w:rPr>
          <w:rFonts w:ascii="Arial" w:hAnsi="Arial" w:cs="Arial"/>
          <w:sz w:val="20"/>
          <w:szCs w:val="20"/>
        </w:rPr>
        <w:t>participantes sobre la fuente de su subvención.</w:t>
      </w:r>
    </w:p>
    <w:sectPr w:rsidR="009542FD" w:rsidRPr="007B7BB6" w:rsidSect="00327EA9">
      <w:headerReference w:type="default" r:id="rId7"/>
      <w:footerReference w:type="default" r:id="rId8"/>
      <w:pgSz w:w="11906" w:h="16838"/>
      <w:pgMar w:top="2552" w:right="1416" w:bottom="1417" w:left="1701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592F" w14:textId="77777777" w:rsidR="00AE7283" w:rsidRDefault="00AE7283" w:rsidP="00327EA9">
      <w:pPr>
        <w:spacing w:after="0" w:line="240" w:lineRule="auto"/>
      </w:pPr>
      <w:r>
        <w:separator/>
      </w:r>
    </w:p>
  </w:endnote>
  <w:endnote w:type="continuationSeparator" w:id="0">
    <w:p w14:paraId="7FD5D3BD" w14:textId="77777777" w:rsidR="00AE7283" w:rsidRDefault="00AE7283" w:rsidP="0032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1627" w14:textId="77777777" w:rsidR="00327EA9" w:rsidRPr="00434A97" w:rsidRDefault="00327EA9" w:rsidP="00327EA9">
    <w:pPr>
      <w:pStyle w:val="Piedepgina"/>
      <w:ind w:left="-567"/>
      <w:rPr>
        <w:rFonts w:ascii="Arial Narrow" w:hAnsi="Arial Narrow"/>
        <w:b/>
        <w:color w:val="1F3864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0889AFD" wp14:editId="23AEBEBE">
              <wp:simplePos x="0" y="0"/>
              <wp:positionH relativeFrom="margin">
                <wp:posOffset>4243705</wp:posOffset>
              </wp:positionH>
              <wp:positionV relativeFrom="paragraph">
                <wp:posOffset>9525</wp:posOffset>
              </wp:positionV>
              <wp:extent cx="10795" cy="505460"/>
              <wp:effectExtent l="0" t="0" r="27305" b="27940"/>
              <wp:wrapNone/>
              <wp:docPr id="31" name="Conector rec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10795" cy="5054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2F554C" id="Conector recto 3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4.15pt,.75pt" to="335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" strokecolor="#5b9bd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848E8" wp14:editId="6171A380">
              <wp:simplePos x="0" y="0"/>
              <wp:positionH relativeFrom="margin">
                <wp:posOffset>2329815</wp:posOffset>
              </wp:positionH>
              <wp:positionV relativeFrom="paragraph">
                <wp:posOffset>10160</wp:posOffset>
              </wp:positionV>
              <wp:extent cx="10795" cy="505460"/>
              <wp:effectExtent l="0" t="0" r="27305" b="27940"/>
              <wp:wrapNone/>
              <wp:docPr id="30" name="Conector rec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795" cy="50546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A13659" id="Conector recto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3.45pt,.8pt" to="184.3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" strokecolor="#5b9bd5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F9A60AF" wp14:editId="407BFBBB">
              <wp:simplePos x="0" y="0"/>
              <wp:positionH relativeFrom="column">
                <wp:posOffset>-499111</wp:posOffset>
              </wp:positionH>
              <wp:positionV relativeFrom="paragraph">
                <wp:posOffset>10160</wp:posOffset>
              </wp:positionV>
              <wp:extent cx="0" cy="527050"/>
              <wp:effectExtent l="0" t="0" r="38100" b="25400"/>
              <wp:wrapNone/>
              <wp:docPr id="29" name="Conector rec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70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C6B6EB" id="Conector recto 29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39.3pt,.8pt" to="-39.3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" strokecolor="#5b9bd5" strokeweight=".5pt">
              <v:stroke joinstyle="miter"/>
              <o:lock v:ext="edit" shapetype="f"/>
            </v:line>
          </w:pict>
        </mc:Fallback>
      </mc:AlternateContent>
    </w:r>
    <w:r w:rsidRPr="00434A97">
      <w:rPr>
        <w:rFonts w:ascii="Arial Narrow" w:hAnsi="Arial Narrow"/>
        <w:b/>
        <w:color w:val="1F3864"/>
        <w:sz w:val="18"/>
      </w:rPr>
      <w:t xml:space="preserve">Consejería de Educación, Cultura y Deportes                              </w:t>
    </w:r>
  </w:p>
  <w:p w14:paraId="3524A9B7" w14:textId="77777777" w:rsidR="00327EA9" w:rsidRDefault="00327EA9" w:rsidP="00327EA9">
    <w:pPr>
      <w:pStyle w:val="Piedepgina"/>
      <w:ind w:left="-567"/>
      <w:rPr>
        <w:rFonts w:ascii="Arial Narrow" w:hAnsi="Arial Narrow"/>
        <w:color w:val="1F3864"/>
        <w:sz w:val="18"/>
      </w:rPr>
    </w:pPr>
    <w:r>
      <w:rPr>
        <w:rFonts w:ascii="Arial Narrow" w:hAnsi="Arial Narrow"/>
        <w:color w:val="1F3864"/>
        <w:sz w:val="18"/>
      </w:rPr>
      <w:t xml:space="preserve">Delegación Provincial </w:t>
    </w:r>
  </w:p>
  <w:p w14:paraId="5A8F9943" w14:textId="77777777" w:rsidR="00327EA9" w:rsidRPr="00434A97" w:rsidRDefault="00327EA9" w:rsidP="00327EA9">
    <w:pPr>
      <w:pStyle w:val="Piedepgina"/>
      <w:ind w:left="-567"/>
      <w:rPr>
        <w:rFonts w:ascii="Arial Narrow" w:hAnsi="Arial Narrow"/>
        <w:color w:val="1F3864"/>
        <w:sz w:val="18"/>
      </w:rPr>
    </w:pPr>
    <w:r>
      <w:rPr>
        <w:rFonts w:ascii="Arial Narrow" w:hAnsi="Arial Narrow"/>
        <w:color w:val="1F3864"/>
        <w:sz w:val="18"/>
      </w:rPr>
      <w:t xml:space="preserve">Avenida de la Estación, 2 - </w:t>
    </w:r>
    <w:r w:rsidRPr="00434A97">
      <w:rPr>
        <w:rFonts w:ascii="Arial Narrow" w:hAnsi="Arial Narrow"/>
        <w:color w:val="1F3864"/>
        <w:sz w:val="18"/>
      </w:rPr>
      <w:t xml:space="preserve">                                                             </w:t>
    </w:r>
    <w:r>
      <w:rPr>
        <w:rFonts w:ascii="Arial Narrow" w:hAnsi="Arial Narrow"/>
        <w:color w:val="1F3864"/>
        <w:sz w:val="18"/>
      </w:rPr>
      <w:tab/>
    </w:r>
    <w:r w:rsidRPr="00434A97">
      <w:rPr>
        <w:rFonts w:ascii="Arial Narrow" w:hAnsi="Arial Narrow"/>
        <w:color w:val="1F3864"/>
        <w:sz w:val="18"/>
      </w:rPr>
      <w:t>Tel.: 9</w:t>
    </w:r>
    <w:r>
      <w:rPr>
        <w:rFonts w:ascii="Arial Narrow" w:hAnsi="Arial Narrow"/>
        <w:color w:val="1F3864"/>
        <w:sz w:val="18"/>
      </w:rPr>
      <w:t>67 596 312</w:t>
    </w:r>
    <w:r w:rsidRPr="00434A97">
      <w:rPr>
        <w:rFonts w:ascii="Arial Narrow" w:hAnsi="Arial Narrow"/>
        <w:color w:val="1F3864"/>
        <w:sz w:val="18"/>
      </w:rPr>
      <w:t xml:space="preserve">                                                   </w:t>
    </w:r>
  </w:p>
  <w:p w14:paraId="51F779A1" w14:textId="77777777" w:rsidR="00327EA9" w:rsidRPr="00434A97" w:rsidRDefault="00327EA9" w:rsidP="00327EA9">
    <w:pPr>
      <w:pStyle w:val="Piedepgina"/>
      <w:ind w:left="-567"/>
      <w:rPr>
        <w:rFonts w:ascii="Arial Narrow" w:hAnsi="Arial Narrow"/>
        <w:color w:val="1F3864"/>
        <w:sz w:val="18"/>
      </w:rPr>
    </w:pPr>
    <w:r>
      <w:rPr>
        <w:rFonts w:ascii="Arial Narrow" w:hAnsi="Arial Narrow"/>
        <w:color w:val="1F3864"/>
        <w:sz w:val="18"/>
      </w:rPr>
      <w:t>02071 Albacete</w:t>
    </w:r>
    <w:r w:rsidRPr="00434A97">
      <w:rPr>
        <w:rFonts w:ascii="Arial Narrow" w:hAnsi="Arial Narrow"/>
        <w:color w:val="1F3864"/>
        <w:sz w:val="18"/>
      </w:rPr>
      <w:t xml:space="preserve">                                                                                e-mail: </w:t>
    </w:r>
    <w:r>
      <w:rPr>
        <w:rFonts w:ascii="Arial Narrow" w:hAnsi="Arial Narrow"/>
        <w:color w:val="1F3864"/>
        <w:sz w:val="18"/>
      </w:rPr>
      <w:t>dpalbacete</w:t>
    </w:r>
    <w:r w:rsidRPr="00434A97">
      <w:rPr>
        <w:rFonts w:ascii="Arial Narrow" w:hAnsi="Arial Narrow"/>
        <w:color w:val="1F3864"/>
        <w:sz w:val="18"/>
      </w:rPr>
      <w:t xml:space="preserve">.edu@jccm.es                           www.castillalamancha.es </w:t>
    </w:r>
  </w:p>
  <w:p w14:paraId="1E01EA9C" w14:textId="77777777" w:rsidR="00327EA9" w:rsidRDefault="00327EA9" w:rsidP="00327EA9">
    <w:pPr>
      <w:pStyle w:val="Piedepgina"/>
    </w:pPr>
  </w:p>
  <w:p w14:paraId="4A922356" w14:textId="77777777" w:rsidR="00327EA9" w:rsidRDefault="00327E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7871" w14:textId="77777777" w:rsidR="00AE7283" w:rsidRDefault="00AE7283" w:rsidP="00327EA9">
      <w:pPr>
        <w:spacing w:after="0" w:line="240" w:lineRule="auto"/>
      </w:pPr>
      <w:r>
        <w:separator/>
      </w:r>
    </w:p>
  </w:footnote>
  <w:footnote w:type="continuationSeparator" w:id="0">
    <w:p w14:paraId="7B8531C4" w14:textId="77777777" w:rsidR="00AE7283" w:rsidRDefault="00AE7283" w:rsidP="0032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1111E" w14:textId="49088C9B" w:rsidR="00327EA9" w:rsidRDefault="00327EA9" w:rsidP="00327EA9">
    <w:pPr>
      <w:pStyle w:val="Encabezado"/>
      <w:tabs>
        <w:tab w:val="clear" w:pos="4252"/>
        <w:tab w:val="clear" w:pos="8504"/>
        <w:tab w:val="left" w:pos="6521"/>
        <w:tab w:val="right" w:pos="9497"/>
      </w:tabs>
      <w:ind w:left="708"/>
    </w:pPr>
    <w:r>
      <w:rPr>
        <w:noProof/>
      </w:rPr>
      <w:t xml:space="preserve">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9264" behindDoc="1" locked="0" layoutInCell="1" allowOverlap="1" wp14:anchorId="29005DB8" wp14:editId="6806F0AC">
          <wp:simplePos x="0" y="0"/>
          <wp:positionH relativeFrom="page">
            <wp:posOffset>817880</wp:posOffset>
          </wp:positionH>
          <wp:positionV relativeFrom="paragraph">
            <wp:posOffset>-146685</wp:posOffset>
          </wp:positionV>
          <wp:extent cx="1295400" cy="835660"/>
          <wp:effectExtent l="0" t="0" r="0" b="2540"/>
          <wp:wrapTight wrapText="bothSides">
            <wp:wrapPolygon edited="0">
              <wp:start x="9529" y="0"/>
              <wp:lineTo x="7941" y="1970"/>
              <wp:lineTo x="7306" y="11325"/>
              <wp:lineTo x="7941" y="15757"/>
              <wp:lineTo x="0" y="17234"/>
              <wp:lineTo x="0" y="21173"/>
              <wp:lineTo x="21282" y="21173"/>
              <wp:lineTo x="21282" y="17726"/>
              <wp:lineTo x="13341" y="15757"/>
              <wp:lineTo x="14294" y="10340"/>
              <wp:lineTo x="13341" y="1970"/>
              <wp:lineTo x="11753" y="0"/>
              <wp:lineTo x="9529" y="0"/>
            </wp:wrapPolygon>
          </wp:wrapTight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                                                </w:t>
    </w:r>
    <w:r>
      <w:rPr>
        <w:noProof/>
      </w:rPr>
      <w:tab/>
      <w:t xml:space="preserve">         </w:t>
    </w:r>
  </w:p>
  <w:p w14:paraId="1ABA776E" w14:textId="77777777" w:rsidR="00327EA9" w:rsidRDefault="00327EA9">
    <w:pPr>
      <w:pStyle w:val="Encabezado"/>
    </w:pPr>
  </w:p>
  <w:p w14:paraId="10DA0DF3" w14:textId="77777777" w:rsidR="00D64A40" w:rsidRDefault="00D64A40">
    <w:pPr>
      <w:pStyle w:val="Encabezado"/>
    </w:pPr>
  </w:p>
  <w:p w14:paraId="3D0B54FC" w14:textId="77777777" w:rsidR="00D64A40" w:rsidRDefault="00D64A40">
    <w:pPr>
      <w:pStyle w:val="Encabezado"/>
    </w:pPr>
  </w:p>
  <w:p w14:paraId="5DCD7439" w14:textId="77777777" w:rsidR="00D64A40" w:rsidRDefault="00D64A40">
    <w:pPr>
      <w:pStyle w:val="Encabezado"/>
    </w:pPr>
  </w:p>
  <w:p w14:paraId="015CA165" w14:textId="77777777" w:rsidR="00D64A40" w:rsidRDefault="00D64A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BF3"/>
    <w:multiLevelType w:val="hybridMultilevel"/>
    <w:tmpl w:val="0E7C04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2C46"/>
    <w:multiLevelType w:val="hybridMultilevel"/>
    <w:tmpl w:val="F1362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D4FC8"/>
    <w:multiLevelType w:val="hybridMultilevel"/>
    <w:tmpl w:val="BD4A4E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B4967"/>
    <w:multiLevelType w:val="hybridMultilevel"/>
    <w:tmpl w:val="DA98A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94729"/>
    <w:multiLevelType w:val="hybridMultilevel"/>
    <w:tmpl w:val="3822D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8267F"/>
    <w:multiLevelType w:val="hybridMultilevel"/>
    <w:tmpl w:val="C60C5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94CB7"/>
    <w:multiLevelType w:val="hybridMultilevel"/>
    <w:tmpl w:val="8446D1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92FC2"/>
    <w:multiLevelType w:val="hybridMultilevel"/>
    <w:tmpl w:val="4C9EBA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05456"/>
    <w:multiLevelType w:val="hybridMultilevel"/>
    <w:tmpl w:val="81B46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75163"/>
    <w:multiLevelType w:val="hybridMultilevel"/>
    <w:tmpl w:val="2A926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154F3"/>
    <w:multiLevelType w:val="hybridMultilevel"/>
    <w:tmpl w:val="FBD0E474"/>
    <w:lvl w:ilvl="0" w:tplc="D0B6879C">
      <w:start w:val="4"/>
      <w:numFmt w:val="bullet"/>
      <w:lvlText w:val=""/>
      <w:lvlJc w:val="left"/>
      <w:pPr>
        <w:ind w:left="720" w:hanging="360"/>
      </w:pPr>
      <w:rPr>
        <w:rFonts w:ascii="Arial" w:eastAsia="Symbol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3722D"/>
    <w:multiLevelType w:val="hybridMultilevel"/>
    <w:tmpl w:val="17BAC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83480">
    <w:abstractNumId w:val="2"/>
  </w:num>
  <w:num w:numId="2" w16cid:durableId="632294787">
    <w:abstractNumId w:val="10"/>
  </w:num>
  <w:num w:numId="3" w16cid:durableId="2029914146">
    <w:abstractNumId w:val="5"/>
  </w:num>
  <w:num w:numId="4" w16cid:durableId="1149441550">
    <w:abstractNumId w:val="7"/>
  </w:num>
  <w:num w:numId="5" w16cid:durableId="437338350">
    <w:abstractNumId w:val="3"/>
  </w:num>
  <w:num w:numId="6" w16cid:durableId="26299381">
    <w:abstractNumId w:val="0"/>
  </w:num>
  <w:num w:numId="7" w16cid:durableId="1515193055">
    <w:abstractNumId w:val="8"/>
  </w:num>
  <w:num w:numId="8" w16cid:durableId="218439982">
    <w:abstractNumId w:val="1"/>
  </w:num>
  <w:num w:numId="9" w16cid:durableId="322051866">
    <w:abstractNumId w:val="9"/>
  </w:num>
  <w:num w:numId="10" w16cid:durableId="200285151">
    <w:abstractNumId w:val="6"/>
  </w:num>
  <w:num w:numId="11" w16cid:durableId="1600871094">
    <w:abstractNumId w:val="4"/>
  </w:num>
  <w:num w:numId="12" w16cid:durableId="1139077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KV2rwFRfzE5tPRAsjqDlQdK2ICWepLW5ijasoYJREqnM6naWSoFfK2pHNmUh9ZEKvZVoBRuTycj22+x4q1HqA==" w:salt="muG5Fm93QOkayk9cMqbxf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1C"/>
    <w:rsid w:val="00030E2E"/>
    <w:rsid w:val="000D7730"/>
    <w:rsid w:val="001A7EED"/>
    <w:rsid w:val="00327EA9"/>
    <w:rsid w:val="003F3D1C"/>
    <w:rsid w:val="00483C3F"/>
    <w:rsid w:val="0049231C"/>
    <w:rsid w:val="0053445B"/>
    <w:rsid w:val="005F3E88"/>
    <w:rsid w:val="00636726"/>
    <w:rsid w:val="00680F60"/>
    <w:rsid w:val="00683E56"/>
    <w:rsid w:val="00725C46"/>
    <w:rsid w:val="00736B0B"/>
    <w:rsid w:val="00737788"/>
    <w:rsid w:val="007B7BB6"/>
    <w:rsid w:val="009542FD"/>
    <w:rsid w:val="00992097"/>
    <w:rsid w:val="00997E77"/>
    <w:rsid w:val="009D5D97"/>
    <w:rsid w:val="00AE7283"/>
    <w:rsid w:val="00C35FCD"/>
    <w:rsid w:val="00C4510B"/>
    <w:rsid w:val="00C63E62"/>
    <w:rsid w:val="00D03902"/>
    <w:rsid w:val="00D64A40"/>
    <w:rsid w:val="00DF592F"/>
    <w:rsid w:val="00DF6AF9"/>
    <w:rsid w:val="00E05740"/>
    <w:rsid w:val="00EA4C32"/>
    <w:rsid w:val="00ED2636"/>
    <w:rsid w:val="00F231B1"/>
    <w:rsid w:val="00F2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79D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451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3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E5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327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27EA9"/>
  </w:style>
  <w:style w:type="paragraph" w:styleId="Piedepgina">
    <w:name w:val="footer"/>
    <w:basedOn w:val="Normal"/>
    <w:link w:val="PiedepginaCar"/>
    <w:unhideWhenUsed/>
    <w:rsid w:val="00327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32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2080</Words>
  <Characters>11446</Characters>
  <Application>Microsoft Office Word</Application>
  <DocSecurity>8</DocSecurity>
  <Lines>95</Lines>
  <Paragraphs>26</Paragraphs>
  <ScaleCrop>false</ScaleCrop>
  <Company/>
  <LinksUpToDate>false</LinksUpToDate>
  <CharactersWithSpaces>13500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2025-12-04T13:22:00Z</dcterms:created>
  <dcterms:modified xsi:type="dcterms:W3CDTF">2025-12-04T13:22:00Z</dcterms:modified>
</cp:coreProperties>
</file>