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>Anuncio de 13/04//2026, de la Delegación Provincial en Cuenca de la Consejería de Desarrollo Sostenible, sobre información pública de la solicitud de autorización administrativa previa, aprobación de proyecto de ejecución y reconocimiento en concreto de utilidad pública de la instalación eléctrica de alta tensión. Referencia: 162110-01225.</w:t>
      </w:r>
    </w:p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</w:p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los efectos previstos en la Ley 24/2013 del Sector Eléctrico, de 26 de diciembre, del Decreto 80/2007, de 19 de junio, modificado por Decreto 34/2017, de 2 de mayo, por los que se regulan los procedimientos de autorización de instalaciones de energía eléctrica a tramitar por </w:t>
      </w:r>
      <w:smartTag w:uri="urn:schemas-microsoft-com:office:smarttags" w:element="PersonName">
        <w:smartTagPr>
          <w:attr w:name="ProductID" w:val="la Junta"/>
        </w:smartTagPr>
        <w:r>
          <w:rPr>
            <w:rFonts w:ascii="Arial" w:hAnsi="Arial" w:cs="Arial"/>
            <w:sz w:val="22"/>
            <w:szCs w:val="22"/>
          </w:rPr>
          <w:t>la Junta</w:t>
        </w:r>
      </w:smartTag>
      <w:r>
        <w:rPr>
          <w:rFonts w:ascii="Arial" w:hAnsi="Arial" w:cs="Arial"/>
          <w:sz w:val="22"/>
          <w:szCs w:val="22"/>
        </w:rPr>
        <w:t xml:space="preserve"> de Comunidades de Castilla - La Mancha y su régimen de revisión e inspección, así como del RD 1955/2000, se somete a información pública la solicitud de autorización administrativa previa, aprobación de proyecto de ejecución y reconocimiento de la utilidad pública de la instalación eléctrica de alta tensión:</w:t>
      </w:r>
    </w:p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</w:p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Referencia: 162110-01225.</w:t>
      </w:r>
    </w:p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Titular: I-DE Redes Eléctricas Inteligentes, S.A.U.</w:t>
      </w:r>
    </w:p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Situación: Término municipal de Castillejo de Iniesta, Cuenca. Parcelas 429, 320 y 318 del polígono 8. </w:t>
      </w:r>
    </w:p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Características principales: </w:t>
      </w:r>
      <w:r>
        <w:rPr>
          <w:rFonts w:ascii="Arial" w:hAnsi="Arial" w:cs="Arial"/>
          <w:spacing w:val="-3"/>
          <w:sz w:val="22"/>
          <w:szCs w:val="22"/>
        </w:rPr>
        <w:t xml:space="preserve">Nueva línea subterránea de media tensión </w:t>
      </w:r>
      <w:bookmarkStart w:id="1" w:name="_Hlk225329337"/>
      <w:r>
        <w:rPr>
          <w:rFonts w:ascii="Arial" w:hAnsi="Arial" w:cs="Arial"/>
          <w:spacing w:val="-3"/>
          <w:sz w:val="22"/>
          <w:szCs w:val="22"/>
        </w:rPr>
        <w:t>(LSMT), 20 kV s/c, desde CT Autovía A3 PK224 hasta nuevo centro de seccionamiento CS EASYCHARGER.</w:t>
      </w:r>
    </w:p>
    <w:bookmarkEnd w:id="1"/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</w:p>
    <w:p w:rsidR="00A70FB3" w:rsidRDefault="00A70FB3" w:rsidP="00A70FB3">
      <w:pPr>
        <w:autoSpaceDE w:val="0"/>
        <w:autoSpaceDN w:val="0"/>
        <w:adjustRightInd w:val="0"/>
        <w:ind w:right="-285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1.- Línea subterránea de media tensión, 20 kV s/c, con inicio en CT AUTOVÍA A3 PK 224  ubicado en la parcela 429 del polígono 8 del término municipal de Castillejo de Iniesta y de coordenadas ETRS-89 X=607.061;Y=4.374.918  hasta  nuevo CS EASYCHARGER (Objeto de otro proyecto) y de coordenadas finales  ETRS-89 X=607.114;Y=4.374.803,  existente ubicado en la parcela 318 del polígono 8 del término municipal de Castillejo de Iniesta, total 184 m con una longitud de cable de 190 m, AL HEPRZ1 12/20 KV 3x 240 mm2. </w:t>
      </w:r>
    </w:p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</w:p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Las instalaciones proyectadas cuentan con informe de impacto ambiental, mediante resolución de 4/2/2026 de la Delegación Provincial de Desarrollo Sostenible de Cuenca. DOCM número 29 de 12 de febrero de 2026</w:t>
      </w:r>
      <w:r>
        <w:rPr>
          <w:rFonts w:ascii="Arial" w:hAnsi="Arial" w:cs="Arial"/>
          <w:sz w:val="22"/>
          <w:szCs w:val="22"/>
          <w:lang w:val="es-ES"/>
        </w:rPr>
        <w:t xml:space="preserve">, por la que se formula el informe de impacto ambiental del proyecto: LMT 20 kV S/C desde CT autovía A3 PK 224 hasta nuevo CS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Easycharger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y desde CS </w:t>
      </w:r>
      <w:proofErr w:type="spellStart"/>
      <w:r>
        <w:rPr>
          <w:rFonts w:ascii="Arial" w:hAnsi="Arial" w:cs="Arial"/>
          <w:sz w:val="22"/>
          <w:szCs w:val="22"/>
          <w:lang w:val="es-ES"/>
        </w:rPr>
        <w:t>Easycharger</w:t>
      </w:r>
      <w:proofErr w:type="spellEnd"/>
      <w:r>
        <w:rPr>
          <w:rFonts w:ascii="Arial" w:hAnsi="Arial" w:cs="Arial"/>
          <w:sz w:val="22"/>
          <w:szCs w:val="22"/>
          <w:lang w:val="es-ES"/>
        </w:rPr>
        <w:t xml:space="preserve"> hasta apoyo número 26497 de L5 Graja de la ST 3222 Iniesta (expediente S478/2025/CU/00046), situado en los términos municipales de Castillejo de Iniesta e Iniesta (Cuenca), cuya promotora es I-DE Redes Eléctricas Inteligentes, SAU.</w:t>
      </w:r>
      <w:r>
        <w:rPr>
          <w:rFonts w:ascii="Arial" w:hAnsi="Arial" w:cs="Arial"/>
          <w:sz w:val="22"/>
          <w:szCs w:val="22"/>
        </w:rPr>
        <w:t>.</w:t>
      </w:r>
    </w:p>
    <w:p w:rsidR="00A70FB3" w:rsidRDefault="00A70FB3" w:rsidP="00A70FB3">
      <w:pPr>
        <w:autoSpaceDE w:val="0"/>
        <w:autoSpaceDN w:val="0"/>
        <w:adjustRightInd w:val="0"/>
        <w:ind w:right="-285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A70FB3" w:rsidRDefault="00A70FB3" w:rsidP="00A70FB3">
      <w:pPr>
        <w:autoSpaceDE w:val="0"/>
        <w:autoSpaceDN w:val="0"/>
        <w:adjustRightInd w:val="0"/>
        <w:ind w:right="-285"/>
        <w:jc w:val="both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Finalidad: Mejorar la garantía y seguridad del suministro eléctrico en la zona.</w:t>
      </w:r>
    </w:p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</w:p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declaración de utilidad pública llevará implícita en todo caso, la necesidad de ocupación de los bienes o de la adquisición de los derechos afectados e implicará la urgente ocupación a los efectos del artículo 52 de la Ley de 16 de diciembre de 1954, de Expropiación Forzosa.</w:t>
      </w:r>
    </w:p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</w:p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 incluye al final de este anuncio, la relación concreta e individualizada de los bienes y derechos (RBDA), que el solicitante considera de necesaria expropiación o imposición de servidumbre de paso, con el alcance y limitaciones previstos en la normativa anterior y en especial en los artículos 57 y 58 de la Ley 24/2013 del Sector Eléctrico. Los Organismos Oficiales se incluyen con carácter informativo y a los efectos del artículo 149 del RD 1955/2000 y el artículo 56 de la Ley 24/2013 del Sector Eléctrico.</w:t>
      </w:r>
    </w:p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</w:p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Lo que se hace público para que pueda ser examinado el expediente en el Servicio de Industria y Energía de la Delegación Provincial en Cuenca de la Consejería de Desarrollo Sostenible, situado en Parque de San Julián, </w:t>
      </w:r>
      <w:proofErr w:type="spellStart"/>
      <w:r>
        <w:rPr>
          <w:rFonts w:ascii="Arial" w:hAnsi="Arial" w:cs="Arial"/>
          <w:sz w:val="22"/>
          <w:szCs w:val="22"/>
        </w:rPr>
        <w:t>nº</w:t>
      </w:r>
      <w:proofErr w:type="spellEnd"/>
      <w:r>
        <w:rPr>
          <w:rFonts w:ascii="Arial" w:hAnsi="Arial" w:cs="Arial"/>
          <w:sz w:val="22"/>
          <w:szCs w:val="22"/>
        </w:rPr>
        <w:t xml:space="preserve"> 13 (teléfono para cita 969-17-97-43), o en el tablón de la sede electrónica de la JCCM a través del enlace: </w:t>
      </w:r>
      <w:hyperlink r:id="rId6" w:history="1">
        <w:r>
          <w:rPr>
            <w:rStyle w:val="Hipervnculo"/>
            <w:rFonts w:ascii="Arial" w:hAnsi="Arial" w:cs="Arial"/>
            <w:sz w:val="22"/>
            <w:szCs w:val="22"/>
          </w:rPr>
          <w:t>https://www.jccm.es/sede/tablon</w:t>
        </w:r>
      </w:hyperlink>
      <w:r>
        <w:rPr>
          <w:rFonts w:ascii="Arial" w:hAnsi="Arial" w:cs="Arial"/>
          <w:sz w:val="22"/>
          <w:szCs w:val="22"/>
        </w:rPr>
        <w:t>, y formularse las alegaciones que se estimen oportunas, en el plazo de treinta días, contados a partir del siguiente al de la publicación de este anuncio.</w:t>
      </w:r>
    </w:p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</w:p>
    <w:p w:rsidR="00A70FB3" w:rsidRDefault="00A70FB3" w:rsidP="00A70FB3">
      <w:pPr>
        <w:pStyle w:val="Textodebloque"/>
        <w:spacing w:line="240" w:lineRule="auto"/>
        <w:ind w:left="0" w:right="-28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Cuenca, 13 de abril de 2026</w:t>
      </w:r>
    </w:p>
    <w:p w:rsidR="00A70FB3" w:rsidRDefault="00A70FB3" w:rsidP="00A70FB3">
      <w:pPr>
        <w:ind w:right="-285"/>
        <w:jc w:val="both"/>
        <w:rPr>
          <w:rFonts w:ascii="Arial" w:hAnsi="Arial" w:cs="Arial"/>
          <w:sz w:val="22"/>
          <w:szCs w:val="22"/>
          <w:lang w:val="es-ES_tradnl"/>
        </w:rPr>
      </w:pPr>
    </w:p>
    <w:p w:rsidR="00A70FB3" w:rsidRDefault="00A70FB3" w:rsidP="00A70FB3">
      <w:pPr>
        <w:ind w:right="-285"/>
        <w:jc w:val="right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El Delegado Provincial</w:t>
      </w:r>
    </w:p>
    <w:p w:rsidR="009261AB" w:rsidRDefault="00A70FB3" w:rsidP="00A70FB3">
      <w:pPr>
        <w:ind w:right="-285"/>
        <w:jc w:val="right"/>
        <w:rPr>
          <w:rFonts w:ascii="Arial" w:hAnsi="Arial" w:cs="Arial"/>
          <w:sz w:val="22"/>
          <w:szCs w:val="22"/>
          <w:lang w:val="es-ES_tradnl"/>
        </w:rPr>
      </w:pPr>
      <w:r>
        <w:rPr>
          <w:rFonts w:ascii="Arial" w:hAnsi="Arial" w:cs="Arial"/>
          <w:sz w:val="22"/>
          <w:szCs w:val="22"/>
          <w:lang w:val="es-ES_tradnl"/>
        </w:rPr>
        <w:t>JOSÉ IGNACIO BENITO CULEBRAS</w:t>
      </w:r>
    </w:p>
    <w:p w:rsidR="009261AB" w:rsidRDefault="009261AB" w:rsidP="009261AB">
      <w:pPr>
        <w:ind w:right="-285"/>
        <w:sectPr w:rsidR="009261AB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tbl>
      <w:tblPr>
        <w:tblW w:w="526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5"/>
        <w:gridCol w:w="982"/>
        <w:gridCol w:w="1057"/>
        <w:gridCol w:w="52"/>
        <w:gridCol w:w="185"/>
        <w:gridCol w:w="900"/>
        <w:gridCol w:w="185"/>
        <w:gridCol w:w="185"/>
        <w:gridCol w:w="336"/>
        <w:gridCol w:w="908"/>
        <w:gridCol w:w="754"/>
        <w:gridCol w:w="204"/>
        <w:gridCol w:w="838"/>
        <w:gridCol w:w="213"/>
        <w:gridCol w:w="449"/>
        <w:gridCol w:w="1844"/>
        <w:gridCol w:w="190"/>
        <w:gridCol w:w="963"/>
        <w:gridCol w:w="678"/>
        <w:gridCol w:w="1027"/>
        <w:gridCol w:w="763"/>
        <w:gridCol w:w="143"/>
        <w:gridCol w:w="1141"/>
      </w:tblGrid>
      <w:tr w:rsidR="009261AB" w:rsidRPr="009261AB" w:rsidTr="00AF214A">
        <w:trPr>
          <w:gridAfter w:val="1"/>
          <w:wAfter w:w="389" w:type="pct"/>
          <w:trHeight w:val="315"/>
        </w:trPr>
        <w:tc>
          <w:tcPr>
            <w:tcW w:w="4611" w:type="pct"/>
            <w:gridSpan w:val="2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auto"/>
            <w:vAlign w:val="bottom"/>
            <w:hideMark/>
          </w:tcPr>
          <w:p w:rsidR="009261AB" w:rsidRPr="009261AB" w:rsidRDefault="009261AB" w:rsidP="009261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61AB">
              <w:rPr>
                <w:rFonts w:ascii="Calibri" w:hAnsi="Calibri" w:cs="Calibri"/>
                <w:sz w:val="22"/>
                <w:szCs w:val="22"/>
              </w:rPr>
              <w:lastRenderedPageBreak/>
              <w:t>101327757 “LSMT 20 KV S/C Desde Autovía A3 PK224 (903702955) Hasta C.S. EASYCHARGER (C.S. - Objeto De Otro Proyecto)"</w:t>
            </w:r>
          </w:p>
        </w:tc>
      </w:tr>
      <w:tr w:rsidR="009261AB" w:rsidRPr="009261AB" w:rsidTr="00AF214A">
        <w:trPr>
          <w:trHeight w:val="402"/>
        </w:trPr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6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0"/>
                <w:szCs w:val="10"/>
              </w:rPr>
            </w:pPr>
            <w:r w:rsidRPr="009261AB">
              <w:rPr>
                <w:rFonts w:ascii="Arial" w:hAnsi="Arial" w:cs="Arial"/>
                <w:sz w:val="10"/>
                <w:szCs w:val="10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56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4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6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5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44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color w:val="000000"/>
                <w:sz w:val="12"/>
                <w:szCs w:val="12"/>
              </w:rPr>
            </w:pPr>
            <w:r w:rsidRPr="009261AB">
              <w:rPr>
                <w:rFonts w:ascii="Arial" w:hAnsi="Arial" w:cs="Arial"/>
                <w:color w:val="000000"/>
                <w:sz w:val="12"/>
                <w:szCs w:val="12"/>
              </w:rPr>
              <w:t> </w:t>
            </w:r>
          </w:p>
        </w:tc>
      </w:tr>
      <w:tr w:rsidR="009261AB" w:rsidRPr="009261AB" w:rsidTr="00AF214A">
        <w:trPr>
          <w:gridAfter w:val="1"/>
          <w:wAfter w:w="389" w:type="pct"/>
          <w:trHeight w:val="300"/>
        </w:trPr>
        <w:tc>
          <w:tcPr>
            <w:tcW w:w="4611" w:type="pct"/>
            <w:gridSpan w:val="2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261AB" w:rsidRPr="009261AB" w:rsidRDefault="009261AB" w:rsidP="009261A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261AB">
              <w:rPr>
                <w:rFonts w:ascii="Calibri" w:hAnsi="Calibri" w:cs="Calibri"/>
                <w:sz w:val="22"/>
                <w:szCs w:val="22"/>
              </w:rPr>
              <w:t>Trazado LSMT 20 kV</w:t>
            </w:r>
          </w:p>
        </w:tc>
      </w:tr>
      <w:tr w:rsidR="009261AB" w:rsidRPr="009261AB" w:rsidTr="00AF214A">
        <w:trPr>
          <w:gridAfter w:val="1"/>
          <w:wAfter w:w="389" w:type="pct"/>
          <w:trHeight w:val="702"/>
        </w:trPr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T.M.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proofErr w:type="spellStart"/>
            <w:r w:rsidRPr="009261AB">
              <w:rPr>
                <w:rFonts w:ascii="Arial" w:hAnsi="Arial" w:cs="Arial"/>
                <w:sz w:val="16"/>
                <w:szCs w:val="8"/>
              </w:rPr>
              <w:t>Nº</w:t>
            </w:r>
            <w:proofErr w:type="spellEnd"/>
            <w:r w:rsidRPr="009261AB">
              <w:rPr>
                <w:rFonts w:ascii="Arial" w:hAnsi="Arial" w:cs="Arial"/>
                <w:sz w:val="16"/>
                <w:szCs w:val="8"/>
              </w:rPr>
              <w:t xml:space="preserve"> Orden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 xml:space="preserve">Canalización </w:t>
            </w:r>
            <w:r w:rsidRPr="009261AB">
              <w:rPr>
                <w:rFonts w:ascii="Arial" w:hAnsi="Arial" w:cs="Arial"/>
                <w:sz w:val="16"/>
                <w:szCs w:val="16"/>
              </w:rPr>
              <w:br/>
              <w:t>(ml)</w:t>
            </w:r>
          </w:p>
        </w:tc>
        <w:tc>
          <w:tcPr>
            <w:tcW w:w="36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9261AB">
              <w:rPr>
                <w:rFonts w:ascii="Arial" w:hAnsi="Arial" w:cs="Arial"/>
                <w:sz w:val="18"/>
                <w:szCs w:val="8"/>
              </w:rPr>
              <w:t xml:space="preserve">Ocupación </w:t>
            </w:r>
            <w:r w:rsidRPr="009261AB">
              <w:rPr>
                <w:rFonts w:ascii="Arial" w:hAnsi="Arial" w:cs="Arial"/>
                <w:sz w:val="18"/>
                <w:szCs w:val="8"/>
              </w:rPr>
              <w:br/>
              <w:t xml:space="preserve">Permanente </w:t>
            </w:r>
            <w:r w:rsidRPr="009261AB">
              <w:rPr>
                <w:rFonts w:ascii="Arial" w:hAnsi="Arial" w:cs="Arial"/>
                <w:sz w:val="18"/>
                <w:szCs w:val="8"/>
              </w:rPr>
              <w:br/>
              <w:t>(m²)</w:t>
            </w:r>
          </w:p>
        </w:tc>
        <w:tc>
          <w:tcPr>
            <w:tcW w:w="540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8"/>
                <w:szCs w:val="8"/>
              </w:rPr>
            </w:pPr>
            <w:r w:rsidRPr="009261AB">
              <w:rPr>
                <w:rFonts w:ascii="Arial" w:hAnsi="Arial" w:cs="Arial"/>
                <w:sz w:val="18"/>
                <w:szCs w:val="8"/>
              </w:rPr>
              <w:t xml:space="preserve">Ocupación Temporal </w:t>
            </w:r>
            <w:r w:rsidRPr="009261AB">
              <w:rPr>
                <w:rFonts w:ascii="Arial" w:hAnsi="Arial" w:cs="Arial"/>
                <w:sz w:val="18"/>
                <w:szCs w:val="8"/>
              </w:rPr>
              <w:br/>
              <w:t>(m²)</w:t>
            </w:r>
          </w:p>
        </w:tc>
        <w:tc>
          <w:tcPr>
            <w:tcW w:w="669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261AB">
              <w:rPr>
                <w:rFonts w:ascii="Arial" w:hAnsi="Arial" w:cs="Arial"/>
                <w:sz w:val="18"/>
                <w:szCs w:val="14"/>
              </w:rPr>
              <w:t xml:space="preserve">Datos </w:t>
            </w:r>
            <w:r w:rsidRPr="009261AB">
              <w:rPr>
                <w:rFonts w:ascii="Arial" w:hAnsi="Arial" w:cs="Arial"/>
                <w:sz w:val="18"/>
                <w:szCs w:val="14"/>
              </w:rPr>
              <w:br/>
              <w:t>Catastrales</w:t>
            </w:r>
          </w:p>
        </w:tc>
        <w:tc>
          <w:tcPr>
            <w:tcW w:w="852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20"/>
                <w:szCs w:val="16"/>
              </w:rPr>
              <w:t>Propietario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20"/>
                <w:szCs w:val="16"/>
              </w:rPr>
              <w:t>Provincia</w:t>
            </w:r>
          </w:p>
        </w:tc>
        <w:tc>
          <w:tcPr>
            <w:tcW w:w="900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20"/>
                <w:szCs w:val="16"/>
              </w:rPr>
              <w:t>Naturaleza</w:t>
            </w:r>
          </w:p>
        </w:tc>
      </w:tr>
      <w:tr w:rsidR="009261AB" w:rsidRPr="009261AB" w:rsidTr="009261AB">
        <w:trPr>
          <w:gridAfter w:val="1"/>
          <w:wAfter w:w="389" w:type="pct"/>
          <w:trHeight w:val="70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4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31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261AB">
              <w:rPr>
                <w:rFonts w:ascii="Arial" w:hAnsi="Arial" w:cs="Arial"/>
                <w:sz w:val="16"/>
                <w:szCs w:val="16"/>
              </w:rPr>
              <w:t>Polig</w:t>
            </w:r>
            <w:proofErr w:type="spellEnd"/>
            <w:r w:rsidRPr="009261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35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Parcela</w:t>
            </w:r>
          </w:p>
        </w:tc>
        <w:tc>
          <w:tcPr>
            <w:tcW w:w="852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0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61AB" w:rsidRPr="009261AB" w:rsidTr="00AF214A">
        <w:trPr>
          <w:gridAfter w:val="1"/>
          <w:wAfter w:w="389" w:type="pct"/>
          <w:trHeight w:val="648"/>
        </w:trPr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Castillejo de Iniesta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61AB"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35</w:t>
            </w:r>
          </w:p>
        </w:tc>
        <w:tc>
          <w:tcPr>
            <w:tcW w:w="36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540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105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429</w:t>
            </w:r>
          </w:p>
        </w:tc>
        <w:tc>
          <w:tcPr>
            <w:tcW w:w="8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Titular catastral</w:t>
            </w:r>
            <w:r w:rsidRPr="009261AB">
              <w:rPr>
                <w:rFonts w:ascii="Arial" w:hAnsi="Arial" w:cs="Arial"/>
                <w:sz w:val="16"/>
                <w:szCs w:val="16"/>
              </w:rPr>
              <w:br/>
              <w:t>Cepsa Comercial Petróleo S.A.</w:t>
            </w:r>
            <w:r w:rsidRPr="009261AB">
              <w:rPr>
                <w:rFonts w:ascii="Arial" w:hAnsi="Arial" w:cs="Arial"/>
                <w:sz w:val="16"/>
                <w:szCs w:val="16"/>
              </w:rPr>
              <w:br/>
            </w:r>
            <w:r w:rsidRPr="009261AB">
              <w:rPr>
                <w:rFonts w:ascii="Arial" w:hAnsi="Arial" w:cs="Arial"/>
                <w:i/>
                <w:iCs/>
                <w:sz w:val="14"/>
                <w:szCs w:val="14"/>
              </w:rPr>
              <w:t>C.I.F. A80298896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Paraje CNO. Nuevo</w:t>
            </w:r>
            <w:r w:rsidRPr="009261AB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br/>
              <w:t>8,191 m</w:t>
            </w:r>
            <w:r w:rsidRPr="009261AB">
              <w:rPr>
                <w:rFonts w:ascii="Arial" w:hAnsi="Arial" w:cs="Arial"/>
                <w:i/>
                <w:iCs/>
                <w:sz w:val="16"/>
                <w:szCs w:val="16"/>
                <w:u w:val="single"/>
                <w:vertAlign w:val="superscript"/>
              </w:rPr>
              <w:t>2</w:t>
            </w:r>
            <w:r w:rsidRPr="009261AB">
              <w:rPr>
                <w:rFonts w:ascii="Arial" w:hAnsi="Arial" w:cs="Arial"/>
                <w:sz w:val="16"/>
                <w:szCs w:val="16"/>
              </w:rPr>
              <w:br/>
              <w:t>Rústico, agrario y pastos. Con inmuebles de distinta clase; urbano y rústico.</w:t>
            </w:r>
          </w:p>
        </w:tc>
      </w:tr>
      <w:tr w:rsidR="009261AB" w:rsidRPr="009261AB" w:rsidTr="00AF214A">
        <w:trPr>
          <w:gridAfter w:val="1"/>
          <w:wAfter w:w="389" w:type="pct"/>
          <w:trHeight w:val="795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9261AB">
              <w:rPr>
                <w:rFonts w:ascii="Arial" w:hAnsi="Arial" w:cs="Arial"/>
                <w:i/>
                <w:iCs/>
                <w:sz w:val="16"/>
                <w:szCs w:val="12"/>
              </w:rPr>
              <w:t>Ref. Catastral</w:t>
            </w:r>
            <w:r w:rsidRPr="009261AB">
              <w:rPr>
                <w:rFonts w:ascii="Arial" w:hAnsi="Arial" w:cs="Arial"/>
                <w:i/>
                <w:iCs/>
                <w:sz w:val="16"/>
                <w:szCs w:val="12"/>
              </w:rPr>
              <w:br/>
              <w:t>16069A008004290000WZ</w:t>
            </w:r>
          </w:p>
        </w:tc>
        <w:tc>
          <w:tcPr>
            <w:tcW w:w="8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</w:pPr>
            <w:r w:rsidRPr="009261AB"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Titular Registro de la Propiedad</w:t>
            </w:r>
            <w:r w:rsidRPr="009261AB"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br/>
            </w:r>
            <w:r w:rsidRPr="009261AB">
              <w:rPr>
                <w:rFonts w:ascii="Arial" w:hAnsi="Arial" w:cs="Arial"/>
                <w:sz w:val="16"/>
                <w:szCs w:val="16"/>
              </w:rPr>
              <w:t>Cepsa Comercial Petróleo S.A.</w:t>
            </w:r>
            <w:r w:rsidRPr="009261AB">
              <w:rPr>
                <w:rFonts w:ascii="Arial" w:hAnsi="Arial" w:cs="Arial"/>
                <w:i/>
                <w:iCs/>
                <w:sz w:val="14"/>
                <w:szCs w:val="14"/>
              </w:rPr>
              <w:br/>
              <w:t>C.I.F. A80298896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61AB" w:rsidRPr="009261AB" w:rsidTr="009261AB">
        <w:trPr>
          <w:gridAfter w:val="1"/>
          <w:wAfter w:w="389" w:type="pct"/>
          <w:trHeight w:val="567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i/>
                <w:iCs/>
                <w:sz w:val="12"/>
                <w:szCs w:val="12"/>
              </w:rPr>
            </w:pPr>
          </w:p>
        </w:tc>
        <w:tc>
          <w:tcPr>
            <w:tcW w:w="852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</w:pPr>
            <w:r w:rsidRPr="009261AB"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Titular por Negociación</w:t>
            </w:r>
            <w:r w:rsidRPr="009261AB"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br/>
            </w:r>
            <w:r w:rsidRPr="009261AB">
              <w:rPr>
                <w:rFonts w:ascii="Arial" w:hAnsi="Arial" w:cs="Arial"/>
                <w:sz w:val="16"/>
                <w:szCs w:val="16"/>
              </w:rPr>
              <w:t>Cepsa Comercial Petróleo S.A.</w:t>
            </w:r>
            <w:r w:rsidRPr="009261AB"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br/>
            </w:r>
            <w:r w:rsidRPr="009261AB">
              <w:rPr>
                <w:rFonts w:ascii="Arial" w:hAnsi="Arial" w:cs="Arial"/>
                <w:i/>
                <w:iCs/>
                <w:sz w:val="14"/>
                <w:szCs w:val="14"/>
              </w:rPr>
              <w:t>C.I.F. A80298896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61AB" w:rsidRPr="009261AB" w:rsidTr="00AF214A">
        <w:trPr>
          <w:gridAfter w:val="1"/>
          <w:wAfter w:w="389" w:type="pct"/>
          <w:trHeight w:val="1010"/>
        </w:trPr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Castillejo de Iniesta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61AB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131</w:t>
            </w:r>
          </w:p>
        </w:tc>
        <w:tc>
          <w:tcPr>
            <w:tcW w:w="36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540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393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320</w:t>
            </w:r>
          </w:p>
        </w:tc>
        <w:tc>
          <w:tcPr>
            <w:tcW w:w="85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Titular catastral</w:t>
            </w:r>
            <w:r w:rsidRPr="009261AB">
              <w:rPr>
                <w:rFonts w:ascii="Arial" w:hAnsi="Arial" w:cs="Arial"/>
                <w:sz w:val="16"/>
                <w:szCs w:val="16"/>
              </w:rPr>
              <w:br/>
              <w:t>Caja Rural de Zamora Coop. de Crédito</w:t>
            </w:r>
            <w:r w:rsidRPr="009261AB">
              <w:rPr>
                <w:rFonts w:ascii="Arial" w:hAnsi="Arial" w:cs="Arial"/>
                <w:sz w:val="16"/>
                <w:szCs w:val="16"/>
              </w:rPr>
              <w:br/>
            </w:r>
            <w:r w:rsidRPr="009261AB">
              <w:rPr>
                <w:rFonts w:ascii="Arial" w:hAnsi="Arial" w:cs="Arial"/>
                <w:i/>
                <w:iCs/>
                <w:sz w:val="14"/>
                <w:szCs w:val="14"/>
              </w:rPr>
              <w:t>C.I.F. F49002454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Paraje CNO. Nuevo</w:t>
            </w:r>
            <w:r w:rsidRPr="009261AB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br/>
              <w:t>5.723 m</w:t>
            </w:r>
            <w:r w:rsidRPr="009261AB">
              <w:rPr>
                <w:rFonts w:ascii="Arial" w:hAnsi="Arial" w:cs="Arial"/>
                <w:i/>
                <w:iCs/>
                <w:sz w:val="16"/>
                <w:szCs w:val="16"/>
                <w:u w:val="single"/>
                <w:vertAlign w:val="superscript"/>
              </w:rPr>
              <w:t>2</w:t>
            </w:r>
            <w:r w:rsidRPr="009261AB">
              <w:rPr>
                <w:rFonts w:ascii="Arial" w:hAnsi="Arial" w:cs="Arial"/>
                <w:sz w:val="16"/>
                <w:szCs w:val="16"/>
              </w:rPr>
              <w:br/>
              <w:t>Rústico, agrario, olivos secano y pastos.</w:t>
            </w:r>
          </w:p>
        </w:tc>
      </w:tr>
      <w:tr w:rsidR="009261AB" w:rsidRPr="009261AB" w:rsidTr="009261AB">
        <w:trPr>
          <w:gridAfter w:val="1"/>
          <w:wAfter w:w="389" w:type="pct"/>
          <w:trHeight w:val="771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9261AB">
              <w:rPr>
                <w:rFonts w:ascii="Arial" w:hAnsi="Arial" w:cs="Arial"/>
                <w:i/>
                <w:iCs/>
                <w:sz w:val="16"/>
                <w:szCs w:val="12"/>
              </w:rPr>
              <w:t>Ref. Catastral</w:t>
            </w:r>
            <w:r w:rsidRPr="009261AB">
              <w:rPr>
                <w:rFonts w:ascii="Arial" w:hAnsi="Arial" w:cs="Arial"/>
                <w:i/>
                <w:iCs/>
                <w:sz w:val="16"/>
                <w:szCs w:val="12"/>
              </w:rPr>
              <w:br/>
              <w:t>16069A008003200000WT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</w:pPr>
            <w:r w:rsidRPr="009261AB"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Titular por Negociación</w:t>
            </w:r>
            <w:r w:rsidRPr="009261AB"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br/>
            </w:r>
            <w:r w:rsidRPr="009261AB">
              <w:rPr>
                <w:rFonts w:ascii="Arial" w:hAnsi="Arial" w:cs="Arial"/>
                <w:sz w:val="16"/>
                <w:szCs w:val="16"/>
              </w:rPr>
              <w:t>La Estrella De Castillejo SCL</w:t>
            </w:r>
            <w:r w:rsidRPr="009261AB">
              <w:rPr>
                <w:rFonts w:ascii="Arial" w:hAnsi="Arial" w:cs="Arial"/>
                <w:sz w:val="12"/>
                <w:szCs w:val="12"/>
              </w:rPr>
              <w:br/>
            </w:r>
            <w:r w:rsidRPr="009261AB">
              <w:rPr>
                <w:rFonts w:ascii="Arial" w:hAnsi="Arial" w:cs="Arial"/>
                <w:i/>
                <w:iCs/>
                <w:sz w:val="14"/>
                <w:szCs w:val="14"/>
              </w:rPr>
              <w:t>C.I.F. F16023053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261AB" w:rsidRPr="009261AB" w:rsidTr="00AF214A">
        <w:trPr>
          <w:gridAfter w:val="1"/>
          <w:wAfter w:w="389" w:type="pct"/>
          <w:trHeight w:val="900"/>
        </w:trPr>
        <w:tc>
          <w:tcPr>
            <w:tcW w:w="310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Castillejo de Iniesta</w:t>
            </w:r>
          </w:p>
        </w:tc>
        <w:tc>
          <w:tcPr>
            <w:tcW w:w="33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9261AB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3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365" w:type="pct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540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31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35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318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Titular catastral</w:t>
            </w:r>
            <w:r w:rsidRPr="009261AB">
              <w:rPr>
                <w:rFonts w:ascii="Arial" w:hAnsi="Arial" w:cs="Arial"/>
                <w:sz w:val="16"/>
                <w:szCs w:val="16"/>
              </w:rPr>
              <w:br/>
              <w:t>La Estrella De Castillejo SCL</w:t>
            </w:r>
            <w:r w:rsidRPr="009261AB">
              <w:rPr>
                <w:rFonts w:ascii="Arial" w:hAnsi="Arial" w:cs="Arial"/>
                <w:sz w:val="16"/>
                <w:szCs w:val="16"/>
              </w:rPr>
              <w:br/>
            </w:r>
            <w:r w:rsidRPr="009261AB">
              <w:rPr>
                <w:rFonts w:ascii="Arial" w:hAnsi="Arial" w:cs="Arial"/>
                <w:i/>
                <w:iCs/>
                <w:sz w:val="16"/>
                <w:szCs w:val="16"/>
              </w:rPr>
              <w:t>C.I.F.</w:t>
            </w:r>
            <w:r w:rsidRPr="009261AB">
              <w:rPr>
                <w:rFonts w:ascii="Arial" w:hAnsi="Arial" w:cs="Arial"/>
                <w:i/>
                <w:iCs/>
                <w:sz w:val="14"/>
                <w:szCs w:val="14"/>
              </w:rPr>
              <w:t xml:space="preserve"> F16023053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900" w:type="pct"/>
            <w:gridSpan w:val="4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t>Paraje CNO. Nuevo</w:t>
            </w:r>
            <w:r w:rsidRPr="009261AB">
              <w:rPr>
                <w:rFonts w:ascii="Arial" w:hAnsi="Arial" w:cs="Arial"/>
                <w:i/>
                <w:iCs/>
                <w:sz w:val="16"/>
                <w:szCs w:val="16"/>
                <w:u w:val="single"/>
              </w:rPr>
              <w:br/>
              <w:t>5.279 m</w:t>
            </w:r>
            <w:r w:rsidRPr="009261AB">
              <w:rPr>
                <w:rFonts w:ascii="Arial" w:hAnsi="Arial" w:cs="Arial"/>
                <w:i/>
                <w:iCs/>
                <w:sz w:val="16"/>
                <w:szCs w:val="16"/>
                <w:u w:val="single"/>
                <w:vertAlign w:val="superscript"/>
              </w:rPr>
              <w:t>2</w:t>
            </w:r>
            <w:r w:rsidRPr="009261AB">
              <w:rPr>
                <w:rFonts w:ascii="Arial" w:hAnsi="Arial" w:cs="Arial"/>
                <w:sz w:val="16"/>
                <w:szCs w:val="16"/>
              </w:rPr>
              <w:br/>
              <w:t xml:space="preserve">Urbano, residencial, hotelero, almacén, vivienda, </w:t>
            </w:r>
            <w:proofErr w:type="spellStart"/>
            <w:r w:rsidRPr="009261AB">
              <w:rPr>
                <w:rFonts w:ascii="Arial" w:hAnsi="Arial" w:cs="Arial"/>
                <w:sz w:val="16"/>
                <w:szCs w:val="16"/>
              </w:rPr>
              <w:t>terr.c</w:t>
            </w:r>
            <w:proofErr w:type="spellEnd"/>
            <w:r w:rsidRPr="009261AB">
              <w:rPr>
                <w:rFonts w:ascii="Arial" w:hAnsi="Arial" w:cs="Arial"/>
                <w:sz w:val="16"/>
                <w:szCs w:val="16"/>
              </w:rPr>
              <w:t xml:space="preserve"> 100%, y obra urb. </w:t>
            </w:r>
            <w:proofErr w:type="spellStart"/>
            <w:r w:rsidRPr="009261AB">
              <w:rPr>
                <w:rFonts w:ascii="Arial" w:hAnsi="Arial" w:cs="Arial"/>
                <w:sz w:val="16"/>
                <w:szCs w:val="16"/>
              </w:rPr>
              <w:t>Int</w:t>
            </w:r>
            <w:proofErr w:type="spellEnd"/>
            <w:r w:rsidRPr="009261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9261AB" w:rsidRPr="009261AB" w:rsidTr="009261AB">
        <w:trPr>
          <w:gridAfter w:val="1"/>
          <w:wAfter w:w="389" w:type="pct"/>
          <w:trHeight w:val="1379"/>
        </w:trPr>
        <w:tc>
          <w:tcPr>
            <w:tcW w:w="310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3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5" w:type="pct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</w:rPr>
            </w:pPr>
            <w:r w:rsidRPr="009261AB">
              <w:rPr>
                <w:rFonts w:ascii="Arial" w:hAnsi="Arial" w:cs="Arial"/>
                <w:i/>
                <w:iCs/>
                <w:sz w:val="16"/>
                <w:szCs w:val="12"/>
              </w:rPr>
              <w:t>Ref. Catastral</w:t>
            </w:r>
            <w:r w:rsidRPr="009261AB">
              <w:rPr>
                <w:rFonts w:ascii="Arial" w:hAnsi="Arial" w:cs="Arial"/>
                <w:i/>
                <w:iCs/>
                <w:sz w:val="16"/>
                <w:szCs w:val="12"/>
              </w:rPr>
              <w:br/>
              <w:t>16069A008003180001EG</w:t>
            </w:r>
          </w:p>
        </w:tc>
        <w:tc>
          <w:tcPr>
            <w:tcW w:w="85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</w:pPr>
            <w:r w:rsidRPr="009261AB"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t>Titular por Negociación</w:t>
            </w:r>
            <w:r w:rsidRPr="009261AB">
              <w:rPr>
                <w:rFonts w:ascii="Arial" w:hAnsi="Arial" w:cs="Arial"/>
                <w:i/>
                <w:iCs/>
                <w:sz w:val="12"/>
                <w:szCs w:val="12"/>
                <w:u w:val="single"/>
              </w:rPr>
              <w:br/>
            </w:r>
            <w:r w:rsidRPr="009261AB">
              <w:rPr>
                <w:rFonts w:ascii="Arial" w:hAnsi="Arial" w:cs="Arial"/>
                <w:sz w:val="16"/>
                <w:szCs w:val="16"/>
              </w:rPr>
              <w:t>La Estrella De Castillejo SCL</w:t>
            </w:r>
            <w:r w:rsidRPr="009261AB">
              <w:rPr>
                <w:rFonts w:ascii="Arial" w:hAnsi="Arial" w:cs="Arial"/>
                <w:sz w:val="12"/>
                <w:szCs w:val="12"/>
              </w:rPr>
              <w:br/>
            </w:r>
            <w:r w:rsidRPr="009261AB">
              <w:rPr>
                <w:rFonts w:ascii="Arial" w:hAnsi="Arial" w:cs="Arial"/>
                <w:i/>
                <w:iCs/>
                <w:sz w:val="14"/>
                <w:szCs w:val="14"/>
              </w:rPr>
              <w:t>C.I.F. F16023053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</w:t>
            </w:r>
          </w:p>
          <w:p w:rsidR="009261AB" w:rsidRPr="009261AB" w:rsidRDefault="009261AB" w:rsidP="009261AB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261AB">
              <w:rPr>
                <w:rFonts w:ascii="Arial" w:hAnsi="Arial" w:cs="Arial"/>
                <w:sz w:val="16"/>
                <w:szCs w:val="16"/>
              </w:rPr>
              <w:t> Cuenca</w:t>
            </w:r>
          </w:p>
        </w:tc>
        <w:tc>
          <w:tcPr>
            <w:tcW w:w="900" w:type="pct"/>
            <w:gridSpan w:val="4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61AB" w:rsidRPr="009261AB" w:rsidRDefault="009261AB" w:rsidP="009261A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914BD" w:rsidRPr="00A70FB3" w:rsidRDefault="002914BD" w:rsidP="009261AB">
      <w:pPr>
        <w:ind w:right="-285"/>
      </w:pPr>
    </w:p>
    <w:sectPr w:rsidR="002914BD" w:rsidRPr="00A70FB3" w:rsidSect="009261AB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214A" w:rsidRDefault="00AF214A" w:rsidP="00A70FB3">
      <w:r>
        <w:separator/>
      </w:r>
    </w:p>
  </w:endnote>
  <w:endnote w:type="continuationSeparator" w:id="0">
    <w:p w:rsidR="00AF214A" w:rsidRDefault="00AF214A" w:rsidP="00A70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214A" w:rsidRDefault="00AF214A" w:rsidP="00A70FB3">
      <w:r>
        <w:separator/>
      </w:r>
    </w:p>
  </w:footnote>
  <w:footnote w:type="continuationSeparator" w:id="0">
    <w:p w:rsidR="00AF214A" w:rsidRDefault="00AF214A" w:rsidP="00A70F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FB3"/>
    <w:rsid w:val="002914BD"/>
    <w:rsid w:val="004522E3"/>
    <w:rsid w:val="005E141E"/>
    <w:rsid w:val="009261AB"/>
    <w:rsid w:val="009D1C16"/>
    <w:rsid w:val="00A70FB3"/>
    <w:rsid w:val="00AF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FAEB565A-F393-406F-A627-CB81D53AB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0FB3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semiHidden/>
    <w:unhideWhenUsed/>
    <w:rsid w:val="00A70FB3"/>
    <w:rPr>
      <w:color w:val="0563C1"/>
      <w:u w:val="single"/>
    </w:rPr>
  </w:style>
  <w:style w:type="paragraph" w:styleId="Textodebloque">
    <w:name w:val="Block Text"/>
    <w:basedOn w:val="Normal"/>
    <w:semiHidden/>
    <w:unhideWhenUsed/>
    <w:rsid w:val="00A70FB3"/>
    <w:pPr>
      <w:spacing w:line="480" w:lineRule="auto"/>
      <w:ind w:left="354" w:right="354"/>
      <w:jc w:val="both"/>
    </w:pPr>
    <w:rPr>
      <w:rFonts w:ascii="Courier" w:hAnsi="Courier"/>
      <w:sz w:val="19"/>
      <w:szCs w:val="19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A70FB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70FB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70FB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70FB3"/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jccm.es/sede/tablo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819</Words>
  <Characters>4510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Junta Comunidades Castilla la Mancha</Company>
  <LinksUpToDate>false</LinksUpToDate>
  <CharactersWithSpaces>5319</CharactersWithSpaces>
  <SharedDoc>false</SharedDoc>
  <HLinks>
    <vt:vector size="6" baseType="variant">
      <vt:variant>
        <vt:i4>7667745</vt:i4>
      </vt:variant>
      <vt:variant>
        <vt:i4>0</vt:i4>
      </vt:variant>
      <vt:variant>
        <vt:i4>0</vt:i4>
      </vt:variant>
      <vt:variant>
        <vt:i4>5</vt:i4>
      </vt:variant>
      <vt:variant>
        <vt:lpwstr>https://www.jccm.es/sede/tablon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Toledo Cifuentes</dc:creator>
  <cp:keywords/>
  <dc:description/>
  <cp:lastModifiedBy>Andrea Toledo Cifuentes</cp:lastModifiedBy>
  <cp:revision>2</cp:revision>
  <dcterms:created xsi:type="dcterms:W3CDTF">2026-05-05T11:18:00Z</dcterms:created>
  <dcterms:modified xsi:type="dcterms:W3CDTF">2026-05-05T11:18:00Z</dcterms:modified>
</cp:coreProperties>
</file>