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6E07" w14:textId="77777777" w:rsidR="00576357" w:rsidRPr="00F472E4" w:rsidRDefault="00576357" w:rsidP="006A3AFE">
      <w:pPr>
        <w:spacing w:before="72" w:line="200" w:lineRule="exact"/>
        <w:ind w:right="-399"/>
        <w:jc w:val="center"/>
        <w:rPr>
          <w:rFonts w:ascii="Aptos" w:eastAsia="Arial" w:hAnsi="Aptos" w:cs="Arial"/>
          <w:sz w:val="19"/>
          <w:szCs w:val="19"/>
          <w:lang w:val="es-ES"/>
        </w:rPr>
      </w:pPr>
      <w:bookmarkStart w:id="0" w:name="_GoBack"/>
      <w:bookmarkEnd w:id="0"/>
      <w:r w:rsidRPr="00F472E4">
        <w:rPr>
          <w:rFonts w:ascii="Aptos" w:eastAsia="Arial" w:hAnsi="Aptos" w:cs="Arial"/>
          <w:b/>
          <w:position w:val="-1"/>
          <w:sz w:val="19"/>
          <w:szCs w:val="19"/>
          <w:lang w:val="es-ES"/>
        </w:rPr>
        <w:t xml:space="preserve">Anexo </w:t>
      </w:r>
    </w:p>
    <w:p w14:paraId="5485D3C4" w14:textId="77777777" w:rsidR="00D12F79" w:rsidRPr="00F472E4" w:rsidRDefault="00D12F79" w:rsidP="00576357">
      <w:pPr>
        <w:spacing w:before="40"/>
        <w:ind w:left="120"/>
        <w:rPr>
          <w:rFonts w:ascii="Aptos" w:eastAsia="Arial" w:hAnsi="Aptos" w:cs="Arial"/>
          <w:b/>
          <w:sz w:val="16"/>
          <w:szCs w:val="15"/>
          <w:lang w:val="es-ES"/>
        </w:rPr>
      </w:pPr>
    </w:p>
    <w:p w14:paraId="541F5E64" w14:textId="4D62440F" w:rsidR="00576357" w:rsidRPr="00F472E4" w:rsidRDefault="00393C2A" w:rsidP="00396D05">
      <w:pPr>
        <w:spacing w:before="40"/>
        <w:ind w:left="120"/>
        <w:rPr>
          <w:rFonts w:ascii="Aptos" w:hAnsi="Aptos"/>
          <w:b/>
          <w:sz w:val="16"/>
          <w:szCs w:val="15"/>
          <w:lang w:val="es-ES"/>
        </w:rPr>
      </w:pPr>
      <w:r w:rsidRPr="00F472E4">
        <w:rPr>
          <w:rFonts w:ascii="Aptos" w:eastAsia="Arial" w:hAnsi="Aptos" w:cs="Arial"/>
          <w:b/>
          <w:sz w:val="16"/>
          <w:szCs w:val="15"/>
          <w:lang w:val="es-ES"/>
        </w:rPr>
        <w:t>Consejería: 23</w:t>
      </w:r>
      <w:r w:rsidR="00576357" w:rsidRPr="00F472E4">
        <w:rPr>
          <w:rFonts w:ascii="Aptos" w:eastAsia="Arial" w:hAnsi="Aptos" w:cs="Arial"/>
          <w:b/>
          <w:sz w:val="16"/>
          <w:szCs w:val="15"/>
          <w:lang w:val="es-ES"/>
        </w:rPr>
        <w:t>.- Consejería</w:t>
      </w:r>
      <w:r w:rsidR="000F7817" w:rsidRPr="00F472E4">
        <w:rPr>
          <w:rFonts w:ascii="Aptos" w:eastAsia="Arial" w:hAnsi="Aptos" w:cs="Arial"/>
          <w:b/>
          <w:sz w:val="16"/>
          <w:szCs w:val="15"/>
          <w:lang w:val="es-ES"/>
        </w:rPr>
        <w:t xml:space="preserve"> de </w:t>
      </w:r>
      <w:r w:rsidRPr="00F472E4">
        <w:rPr>
          <w:rFonts w:ascii="Aptos" w:eastAsia="Arial" w:hAnsi="Aptos" w:cs="Arial"/>
          <w:b/>
          <w:sz w:val="16"/>
          <w:szCs w:val="15"/>
          <w:lang w:val="es-ES"/>
        </w:rPr>
        <w:t>Desarrollo Sostenible</w:t>
      </w:r>
    </w:p>
    <w:p w14:paraId="7047E945" w14:textId="7A7ED28A" w:rsidR="003C4D40" w:rsidRPr="00F472E4" w:rsidRDefault="00576357" w:rsidP="00576357">
      <w:pPr>
        <w:ind w:left="120"/>
        <w:rPr>
          <w:rFonts w:ascii="Aptos" w:eastAsia="Arial" w:hAnsi="Aptos" w:cs="Arial"/>
          <w:sz w:val="16"/>
          <w:szCs w:val="15"/>
          <w:lang w:val="es-ES"/>
        </w:rPr>
      </w:pPr>
      <w:r w:rsidRPr="00F472E4">
        <w:rPr>
          <w:rFonts w:ascii="Aptos" w:eastAsia="Arial" w:hAnsi="Aptos" w:cs="Arial"/>
          <w:b/>
          <w:sz w:val="16"/>
          <w:szCs w:val="15"/>
          <w:lang w:val="es-ES"/>
        </w:rPr>
        <w:t xml:space="preserve">Dependencia: </w:t>
      </w:r>
      <w:r w:rsidR="00393C2A" w:rsidRPr="00F472E4">
        <w:rPr>
          <w:rFonts w:ascii="Aptos" w:eastAsia="Arial" w:hAnsi="Aptos" w:cs="Arial"/>
          <w:b/>
          <w:sz w:val="16"/>
          <w:szCs w:val="15"/>
          <w:lang w:val="es-ES"/>
        </w:rPr>
        <w:t>23</w:t>
      </w:r>
      <w:r w:rsidRPr="00F472E4">
        <w:rPr>
          <w:rFonts w:ascii="Aptos" w:eastAsia="Arial" w:hAnsi="Aptos" w:cs="Arial"/>
          <w:b/>
          <w:sz w:val="16"/>
          <w:szCs w:val="15"/>
          <w:lang w:val="es-ES"/>
        </w:rPr>
        <w:t>.0</w:t>
      </w:r>
      <w:r w:rsidR="008F78BA" w:rsidRPr="00F472E4">
        <w:rPr>
          <w:rFonts w:ascii="Aptos" w:eastAsia="Arial" w:hAnsi="Aptos" w:cs="Arial"/>
          <w:b/>
          <w:sz w:val="16"/>
          <w:szCs w:val="15"/>
          <w:lang w:val="es-ES"/>
        </w:rPr>
        <w:t>0</w:t>
      </w:r>
      <w:r w:rsidR="003403C9" w:rsidRPr="00F472E4">
        <w:rPr>
          <w:rFonts w:ascii="Aptos" w:eastAsia="Arial" w:hAnsi="Aptos" w:cs="Arial"/>
          <w:b/>
          <w:sz w:val="16"/>
          <w:szCs w:val="15"/>
          <w:lang w:val="es-ES"/>
        </w:rPr>
        <w:t>.-</w:t>
      </w:r>
      <w:r w:rsidR="008F78BA" w:rsidRPr="00F472E4">
        <w:rPr>
          <w:rFonts w:ascii="Aptos" w:eastAsia="Arial" w:hAnsi="Aptos" w:cs="Arial"/>
          <w:b/>
          <w:sz w:val="16"/>
          <w:szCs w:val="15"/>
          <w:lang w:val="es-ES"/>
        </w:rPr>
        <w:t xml:space="preserve"> Servicios Centrales</w:t>
      </w:r>
    </w:p>
    <w:tbl>
      <w:tblPr>
        <w:tblW w:w="150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83"/>
        <w:gridCol w:w="567"/>
        <w:gridCol w:w="2268"/>
        <w:gridCol w:w="425"/>
        <w:gridCol w:w="536"/>
        <w:gridCol w:w="315"/>
        <w:gridCol w:w="992"/>
        <w:gridCol w:w="1562"/>
        <w:gridCol w:w="423"/>
        <w:gridCol w:w="1701"/>
        <w:gridCol w:w="850"/>
        <w:gridCol w:w="4820"/>
      </w:tblGrid>
      <w:tr w:rsidR="00F472E4" w:rsidRPr="00F472E4" w14:paraId="4A32B590" w14:textId="77777777" w:rsidTr="00C97168">
        <w:trPr>
          <w:trHeight w:hRule="exact" w:val="5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DC20" w14:textId="77777777" w:rsidR="00F472E4" w:rsidRPr="00F472E4" w:rsidRDefault="00F472E4" w:rsidP="00AF0E16">
            <w:pPr>
              <w:spacing w:before="58"/>
              <w:ind w:left="112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proofErr w:type="spellStart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Nº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B129" w14:textId="77777777" w:rsidR="00F472E4" w:rsidRPr="00F472E4" w:rsidRDefault="00F472E4" w:rsidP="00AF0E16">
            <w:pPr>
              <w:spacing w:before="58"/>
              <w:jc w:val="center"/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Cl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3D5A" w14:textId="77777777" w:rsidR="00F472E4" w:rsidRPr="00F472E4" w:rsidRDefault="00F472E4" w:rsidP="00AF0E16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Código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55CC" w14:textId="77777777" w:rsidR="00F472E4" w:rsidRPr="00F472E4" w:rsidRDefault="00F472E4" w:rsidP="00AF0E16">
            <w:pPr>
              <w:spacing w:before="58"/>
              <w:ind w:left="141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 Denominación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647A" w14:textId="77777777" w:rsidR="00F472E4" w:rsidRPr="00F472E4" w:rsidRDefault="00F472E4" w:rsidP="00AF0E16">
            <w:pPr>
              <w:spacing w:before="58"/>
              <w:ind w:left="94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NP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7ACF" w14:textId="77777777" w:rsidR="00F472E4" w:rsidRPr="00F472E4" w:rsidRDefault="00F472E4" w:rsidP="00AF0E16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GP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0C8D" w14:textId="77777777" w:rsidR="00F472E4" w:rsidRPr="00F472E4" w:rsidRDefault="00F472E4" w:rsidP="00AF0E16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3D48" w14:textId="77777777" w:rsidR="00F472E4" w:rsidRPr="00F472E4" w:rsidRDefault="00F472E4" w:rsidP="00AF0E16">
            <w:pPr>
              <w:spacing w:before="58"/>
              <w:ind w:left="78"/>
              <w:jc w:val="center"/>
              <w:rPr>
                <w:rFonts w:ascii="Aptos" w:eastAsia="Arial" w:hAnsi="Aptos" w:cs="Arial"/>
                <w:color w:val="FF0000"/>
                <w:sz w:val="15"/>
                <w:szCs w:val="15"/>
                <w:lang w:val="es-ES"/>
              </w:rPr>
            </w:pPr>
            <w:proofErr w:type="spellStart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Compl</w:t>
            </w:r>
            <w:proofErr w:type="spellEnd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. </w:t>
            </w:r>
            <w:proofErr w:type="spellStart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Espec</w:t>
            </w:r>
            <w:proofErr w:type="spellEnd"/>
            <w:r w:rsidRPr="00F472E4">
              <w:rPr>
                <w:rFonts w:ascii="Aptos" w:eastAsia="Arial" w:hAnsi="Aptos" w:cs="Arial"/>
                <w:b/>
                <w:color w:val="FF0000"/>
                <w:sz w:val="15"/>
                <w:szCs w:val="15"/>
                <w:lang w:val="es-ES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6E32" w14:textId="77777777" w:rsidR="00F472E4" w:rsidRPr="00F472E4" w:rsidRDefault="00F472E4" w:rsidP="00774CA3">
            <w:pPr>
              <w:spacing w:before="58"/>
              <w:ind w:left="96"/>
              <w:jc w:val="center"/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Titulación</w:t>
            </w:r>
          </w:p>
          <w:p w14:paraId="34FE68FA" w14:textId="77777777" w:rsidR="00F472E4" w:rsidRPr="00F472E4" w:rsidRDefault="00F472E4" w:rsidP="00774CA3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Requisitos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1F8E" w14:textId="77777777" w:rsidR="00F472E4" w:rsidRPr="00F472E4" w:rsidRDefault="00F472E4" w:rsidP="00AF0E16">
            <w:pPr>
              <w:spacing w:before="58"/>
              <w:ind w:left="101" w:right="101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TJ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512A" w14:textId="77777777" w:rsidR="00F472E4" w:rsidRPr="00F472E4" w:rsidRDefault="00F472E4" w:rsidP="00D35675">
            <w:pPr>
              <w:spacing w:before="58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   Centro de Trabajo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BC81" w14:textId="79FB233A" w:rsidR="00F472E4" w:rsidRPr="00F472E4" w:rsidRDefault="00F472E4" w:rsidP="00F472E4">
            <w:pPr>
              <w:spacing w:before="58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  </w:t>
            </w: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Provincia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91A1" w14:textId="77777777" w:rsidR="00F472E4" w:rsidRPr="00F472E4" w:rsidRDefault="00F472E4" w:rsidP="00774CA3">
            <w:pPr>
              <w:spacing w:before="58"/>
              <w:ind w:left="142" w:right="142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Funciones del Puesto</w:t>
            </w:r>
          </w:p>
        </w:tc>
      </w:tr>
      <w:tr w:rsidR="00AC03E6" w:rsidRPr="00F472E4" w14:paraId="7AB66047" w14:textId="77777777" w:rsidTr="00C97168">
        <w:trPr>
          <w:trHeight w:hRule="exact" w:val="916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3A9E" w14:textId="4FA9DFC2" w:rsidR="00AC03E6" w:rsidRPr="00F472E4" w:rsidRDefault="00AC03E6" w:rsidP="00AC03E6">
            <w:pPr>
              <w:spacing w:line="245" w:lineRule="auto"/>
              <w:ind w:left="57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>
              <w:rPr>
                <w:rFonts w:ascii="Aptos" w:eastAsia="Arial" w:hAnsi="Aptos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890D" w14:textId="0E5B11D6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A6C5" w14:textId="3007552B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1</w:t>
            </w:r>
            <w:r>
              <w:rPr>
                <w:rFonts w:ascii="Aptos" w:hAnsi="Aptos" w:cs="Arial"/>
                <w:sz w:val="15"/>
                <w:szCs w:val="15"/>
                <w:lang w:val="es-ES"/>
              </w:rPr>
              <w:t>341</w:t>
            </w:r>
            <w:r w:rsidR="00243FB8">
              <w:rPr>
                <w:rFonts w:ascii="Aptos" w:hAnsi="Aptos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8E62" w14:textId="341A1C93" w:rsidR="00AC03E6" w:rsidRPr="00F472E4" w:rsidRDefault="00AC03E6" w:rsidP="00AC03E6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proofErr w:type="spellStart"/>
            <w:proofErr w:type="gramStart"/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J.Serv</w:t>
            </w:r>
            <w:proofErr w:type="spellEnd"/>
            <w:proofErr w:type="gramEnd"/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.</w:t>
            </w:r>
            <w:r>
              <w:rPr>
                <w:rFonts w:ascii="Aptos" w:hAnsi="Aptos" w:cs="Arial"/>
                <w:sz w:val="15"/>
                <w:szCs w:val="15"/>
                <w:lang w:val="es-ES"/>
              </w:rPr>
              <w:t xml:space="preserve"> Programas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35FF" w14:textId="65578BB9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3CCC" w14:textId="6A9834CF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A1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2AAF" w14:textId="6C2EEC06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16EB" w14:textId="77777777" w:rsidR="00AC03E6" w:rsidRPr="00F472E4" w:rsidRDefault="00AC03E6" w:rsidP="00AC03E6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  <w:p w14:paraId="751A527E" w14:textId="4C988D28" w:rsidR="00AC03E6" w:rsidRPr="00F472E4" w:rsidRDefault="00AC03E6" w:rsidP="00AC03E6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 xml:space="preserve">26.328,24 €      </w:t>
            </w:r>
          </w:p>
          <w:p w14:paraId="423B6DD7" w14:textId="28F52A12" w:rsidR="00AC03E6" w:rsidRPr="00F472E4" w:rsidRDefault="00AC03E6" w:rsidP="00AC03E6">
            <w:pPr>
              <w:jc w:val="center"/>
              <w:rPr>
                <w:rFonts w:ascii="Aptos" w:hAnsi="Aptos" w:cs="Arial"/>
                <w:color w:val="FF0000"/>
                <w:sz w:val="15"/>
                <w:szCs w:val="15"/>
                <w:lang w:val="es-E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B774" w14:textId="7F071691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D8DA" w14:textId="40C71994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PD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D266" w14:textId="6459888E" w:rsidR="00AC03E6" w:rsidRPr="00F472E4" w:rsidRDefault="00AC03E6" w:rsidP="00AC03E6">
            <w:pPr>
              <w:jc w:val="center"/>
              <w:rPr>
                <w:rFonts w:ascii="Aptos" w:hAnsi="Aptos"/>
                <w:lang w:val="es-ES"/>
              </w:rPr>
            </w:pPr>
            <w:r w:rsidRPr="00AC03E6">
              <w:rPr>
                <w:rFonts w:ascii="Aptos" w:hAnsi="Aptos" w:cs="Arial"/>
                <w:sz w:val="15"/>
                <w:szCs w:val="15"/>
                <w:lang w:val="es-ES"/>
              </w:rPr>
              <w:t>Viceconsejería de Medio Ambiente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7D87" w14:textId="2C7B234A" w:rsidR="00AC03E6" w:rsidRPr="00F472E4" w:rsidRDefault="00AC03E6" w:rsidP="00AC03E6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Toledo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FC71" w14:textId="783F50B0" w:rsidR="00AC03E6" w:rsidRPr="00F472E4" w:rsidRDefault="00BB788A" w:rsidP="00AC03E6">
            <w:pPr>
              <w:jc w:val="both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BB788A">
              <w:rPr>
                <w:rFonts w:ascii="Aptos" w:eastAsia="Arial" w:hAnsi="Aptos" w:cs="Arial"/>
                <w:sz w:val="15"/>
                <w:szCs w:val="15"/>
                <w:lang w:val="es-ES"/>
              </w:rPr>
              <w:t>Coordinación y gestión</w:t>
            </w:r>
            <w:r w:rsidR="00243FB8">
              <w:rPr>
                <w:rFonts w:ascii="Aptos" w:eastAsia="Arial" w:hAnsi="Aptos" w:cs="Arial"/>
                <w:sz w:val="15"/>
                <w:szCs w:val="15"/>
                <w:lang w:val="es-ES"/>
              </w:rPr>
              <w:t xml:space="preserve"> del</w:t>
            </w:r>
            <w:r w:rsidRPr="00BB788A">
              <w:rPr>
                <w:rFonts w:ascii="Aptos" w:eastAsia="Arial" w:hAnsi="Aptos" w:cs="Arial"/>
                <w:sz w:val="15"/>
                <w:szCs w:val="15"/>
                <w:lang w:val="es-ES"/>
              </w:rPr>
              <w:t xml:space="preserve"> Programa de Desarrollo Rural Regional, coordinación y gestión Programa FEDER, elaboración de las propuestas cofinanciadas </w:t>
            </w:r>
            <w:proofErr w:type="spellStart"/>
            <w:r w:rsidRPr="00BB788A">
              <w:rPr>
                <w:rFonts w:ascii="Aptos" w:eastAsia="Arial" w:hAnsi="Aptos" w:cs="Arial"/>
                <w:sz w:val="15"/>
                <w:szCs w:val="15"/>
                <w:lang w:val="es-ES"/>
              </w:rPr>
              <w:t>Interreg</w:t>
            </w:r>
            <w:proofErr w:type="spellEnd"/>
            <w:r w:rsidRPr="00BB788A">
              <w:rPr>
                <w:rFonts w:ascii="Aptos" w:eastAsia="Arial" w:hAnsi="Aptos" w:cs="Arial"/>
                <w:sz w:val="15"/>
                <w:szCs w:val="15"/>
                <w:lang w:val="es-ES"/>
              </w:rPr>
              <w:t xml:space="preserve">, </w:t>
            </w:r>
            <w:proofErr w:type="spellStart"/>
            <w:r w:rsidRPr="00BB788A">
              <w:rPr>
                <w:rFonts w:ascii="Aptos" w:eastAsia="Arial" w:hAnsi="Aptos" w:cs="Arial"/>
                <w:sz w:val="15"/>
                <w:szCs w:val="15"/>
                <w:lang w:val="es-ES"/>
              </w:rPr>
              <w:t>Sudoe</w:t>
            </w:r>
            <w:proofErr w:type="spellEnd"/>
            <w:r w:rsidRPr="00BB788A">
              <w:rPr>
                <w:rFonts w:ascii="Aptos" w:eastAsia="Arial" w:hAnsi="Aptos" w:cs="Arial"/>
                <w:sz w:val="15"/>
                <w:szCs w:val="15"/>
                <w:lang w:val="es-ES"/>
              </w:rPr>
              <w:t>, Horizonte XX, etc., coordinación y gestión Proyectos LIFE +, Instrumentos de Gestión Forestal Sostenible, Plan de Conservación del Medio Natural.</w:t>
            </w:r>
          </w:p>
        </w:tc>
      </w:tr>
      <w:tr w:rsidR="00F472E4" w:rsidRPr="00F472E4" w14:paraId="43DD82AD" w14:textId="77777777" w:rsidTr="00C97168">
        <w:trPr>
          <w:trHeight w:hRule="exact" w:val="1539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6CD8" w14:textId="77777777" w:rsidR="00F472E4" w:rsidRPr="00F472E4" w:rsidRDefault="00F472E4" w:rsidP="00C33D7B">
            <w:pPr>
              <w:spacing w:line="245" w:lineRule="auto"/>
              <w:ind w:left="57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sz w:val="15"/>
                <w:szCs w:val="15"/>
                <w:lang w:val="es-ES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676C" w14:textId="7B7ECF7C" w:rsidR="00F472E4" w:rsidRPr="00F472E4" w:rsidRDefault="00F472E4" w:rsidP="00C33D7B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629D" w14:textId="4EDC4BFA" w:rsidR="00F472E4" w:rsidRPr="00F472E4" w:rsidRDefault="00F472E4" w:rsidP="00C33D7B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1</w:t>
            </w:r>
            <w:r w:rsidR="00AC03E6">
              <w:rPr>
                <w:rFonts w:ascii="Aptos" w:hAnsi="Aptos" w:cs="Arial"/>
                <w:sz w:val="15"/>
                <w:szCs w:val="15"/>
                <w:lang w:val="es-ES"/>
              </w:rPr>
              <w:t>1793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0CB5" w14:textId="3187D006" w:rsidR="00F472E4" w:rsidRPr="00F472E4" w:rsidRDefault="00AC03E6" w:rsidP="00C33D7B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>Coordinador/a Política Forestal y Espacios Naturales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5644" w14:textId="7CDC48CB" w:rsidR="00F472E4" w:rsidRPr="00F472E4" w:rsidRDefault="00F472E4" w:rsidP="00C33D7B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58BA" w14:textId="29E19EE4" w:rsidR="00F472E4" w:rsidRPr="00F472E4" w:rsidRDefault="00F472E4" w:rsidP="00C33D7B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A1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B24F" w14:textId="69B90981" w:rsidR="00F472E4" w:rsidRPr="00F472E4" w:rsidRDefault="00F472E4" w:rsidP="00C33D7B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2</w:t>
            </w:r>
            <w:r w:rsidR="00EB43D0">
              <w:rPr>
                <w:rFonts w:ascii="Aptos" w:hAnsi="Aptos" w:cs="Arial"/>
                <w:sz w:val="15"/>
                <w:szCs w:val="15"/>
                <w:lang w:val="es-E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EE6A" w14:textId="77777777" w:rsidR="00F472E4" w:rsidRPr="00F472E4" w:rsidRDefault="00F472E4" w:rsidP="004F2DEE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  <w:p w14:paraId="1AA916ED" w14:textId="4C38004E" w:rsidR="00F472E4" w:rsidRPr="00F472E4" w:rsidRDefault="00396D05" w:rsidP="004F2DEE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396D05">
              <w:rPr>
                <w:rFonts w:ascii="Aptos" w:hAnsi="Aptos" w:cs="Arial"/>
                <w:sz w:val="15"/>
                <w:szCs w:val="15"/>
                <w:lang w:val="es-ES"/>
              </w:rPr>
              <w:t xml:space="preserve">29.500,56 </w:t>
            </w:r>
            <w:r w:rsidR="00F472E4" w:rsidRPr="00F472E4">
              <w:rPr>
                <w:rFonts w:ascii="Aptos" w:hAnsi="Aptos" w:cs="Arial"/>
                <w:sz w:val="15"/>
                <w:szCs w:val="15"/>
                <w:lang w:val="es-ES"/>
              </w:rPr>
              <w:t xml:space="preserve">€      </w:t>
            </w:r>
          </w:p>
          <w:p w14:paraId="7EEF5943" w14:textId="0A44B7C6" w:rsidR="00F472E4" w:rsidRPr="00F472E4" w:rsidRDefault="00F472E4" w:rsidP="00C33D7B">
            <w:pPr>
              <w:jc w:val="center"/>
              <w:rPr>
                <w:rFonts w:ascii="Aptos" w:hAnsi="Aptos" w:cs="Arial"/>
                <w:color w:val="FF0000"/>
                <w:sz w:val="15"/>
                <w:szCs w:val="15"/>
                <w:lang w:val="es-E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7D29" w14:textId="4244435B" w:rsidR="00F472E4" w:rsidRPr="00F472E4" w:rsidRDefault="00F472E4" w:rsidP="00C33D7B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5CB8" w14:textId="1EEC012A" w:rsidR="00F472E4" w:rsidRPr="00F472E4" w:rsidRDefault="00F472E4" w:rsidP="00C33D7B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PD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DBFC" w14:textId="0296E255" w:rsidR="00F472E4" w:rsidRPr="00F472E4" w:rsidRDefault="00EB43D0" w:rsidP="00C33D7B">
            <w:pPr>
              <w:jc w:val="center"/>
              <w:rPr>
                <w:rFonts w:ascii="Aptos" w:hAnsi="Aptos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 xml:space="preserve">D.G. Medio Natural </w:t>
            </w:r>
            <w:r w:rsidR="00396D05" w:rsidRPr="00F472E4">
              <w:rPr>
                <w:rFonts w:ascii="Aptos" w:hAnsi="Aptos" w:cs="Arial"/>
                <w:sz w:val="15"/>
                <w:szCs w:val="15"/>
                <w:lang w:val="es-ES"/>
              </w:rPr>
              <w:t>y Biodiversidad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FD8E" w14:textId="068AC470" w:rsidR="00F472E4" w:rsidRPr="00F472E4" w:rsidRDefault="00F472E4" w:rsidP="00C33D7B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Toledo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F804" w14:textId="0F5B0E80" w:rsidR="00F472E4" w:rsidRPr="00F472E4" w:rsidRDefault="00243FB8" w:rsidP="00ED653B">
            <w:pPr>
              <w:jc w:val="both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CA18FF">
              <w:rPr>
                <w:rFonts w:ascii="Aptos" w:eastAsia="Arial" w:hAnsi="Aptos" w:cs="Arial"/>
                <w:sz w:val="15"/>
                <w:szCs w:val="15"/>
                <w:lang w:val="es-ES"/>
              </w:rPr>
              <w:t>Coordinar las actuaciones de la Dirección General en materia de política forestal y espacios naturales; coordinar, planificar, supervisar y organizar los servicios de la D.G de medio natural y biodiversidad; coordinar la comunicación entre la D.G de medio natural y los diferentes departamentos de la Consejería de desarrollo sostenible, así como otros departamentos de la Junta de Comunidades que así lo requieran; propuesta de elaboración de los presupuestos generales de la Dirección General.</w:t>
            </w:r>
          </w:p>
        </w:tc>
      </w:tr>
      <w:tr w:rsidR="00885A22" w:rsidRPr="00F472E4" w14:paraId="65D8FBE1" w14:textId="77777777" w:rsidTr="00C97168">
        <w:trPr>
          <w:trHeight w:hRule="exact" w:val="1539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447C" w14:textId="465A2589" w:rsidR="00885A22" w:rsidRPr="00F472E4" w:rsidRDefault="00885A22" w:rsidP="00885A22">
            <w:pPr>
              <w:spacing w:line="245" w:lineRule="auto"/>
              <w:ind w:left="57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>
              <w:rPr>
                <w:rFonts w:ascii="Aptos" w:eastAsia="Arial" w:hAnsi="Aptos" w:cs="Arial"/>
                <w:sz w:val="15"/>
                <w:szCs w:val="15"/>
                <w:lang w:val="es-ES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084A" w14:textId="69B30A01" w:rsidR="00885A22" w:rsidRPr="00F472E4" w:rsidRDefault="00885A22" w:rsidP="00885A22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BE0D" w14:textId="12088142" w:rsidR="00885A22" w:rsidRPr="00F472E4" w:rsidRDefault="00885A22" w:rsidP="00885A22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>14354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B0EC" w14:textId="3A90E45A" w:rsidR="00885A22" w:rsidRDefault="00885A22" w:rsidP="00885A22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 xml:space="preserve">J. </w:t>
            </w:r>
            <w:proofErr w:type="spellStart"/>
            <w:r>
              <w:rPr>
                <w:rFonts w:ascii="Aptos" w:hAnsi="Aptos" w:cs="Arial"/>
                <w:sz w:val="15"/>
                <w:szCs w:val="15"/>
                <w:lang w:val="es-ES"/>
              </w:rPr>
              <w:t>Serv</w:t>
            </w:r>
            <w:proofErr w:type="spellEnd"/>
            <w:r>
              <w:rPr>
                <w:rFonts w:ascii="Aptos" w:hAnsi="Aptos" w:cs="Arial"/>
                <w:sz w:val="15"/>
                <w:szCs w:val="15"/>
                <w:lang w:val="es-ES"/>
              </w:rPr>
              <w:t>. Agenda 2030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0A0D" w14:textId="64CC1BDC" w:rsidR="00885A22" w:rsidRPr="00F472E4" w:rsidRDefault="00885A22" w:rsidP="00885A22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7708" w14:textId="7932BD55" w:rsidR="00885A22" w:rsidRPr="00F472E4" w:rsidRDefault="00885A22" w:rsidP="00885A22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>A1</w:t>
            </w:r>
            <w:r w:rsidR="00C97168">
              <w:rPr>
                <w:rFonts w:ascii="Aptos" w:hAnsi="Aptos" w:cs="Arial"/>
                <w:sz w:val="15"/>
                <w:szCs w:val="15"/>
                <w:lang w:val="es-ES"/>
              </w:rPr>
              <w:t>/A2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2D5F" w14:textId="4D9A7059" w:rsidR="00885A22" w:rsidRPr="00F472E4" w:rsidRDefault="00885A22" w:rsidP="00885A22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>2</w:t>
            </w:r>
            <w:r w:rsidR="00C97168">
              <w:rPr>
                <w:rFonts w:ascii="Aptos" w:hAnsi="Aptos" w:cs="Arial"/>
                <w:sz w:val="15"/>
                <w:szCs w:val="15"/>
                <w:lang w:val="es-E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90A7" w14:textId="77777777" w:rsidR="00885A22" w:rsidRPr="00F472E4" w:rsidRDefault="00885A22" w:rsidP="00885A22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  <w:p w14:paraId="2CED3108" w14:textId="7F3A4BEB" w:rsidR="00885A22" w:rsidRPr="00F472E4" w:rsidRDefault="00426C22" w:rsidP="00885A22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426C22">
              <w:rPr>
                <w:rFonts w:ascii="Aptos" w:hAnsi="Aptos" w:cs="Arial"/>
                <w:sz w:val="15"/>
                <w:szCs w:val="15"/>
                <w:lang w:val="es-ES"/>
              </w:rPr>
              <w:t>22.599,84</w:t>
            </w:r>
            <w:r w:rsidR="00885A22" w:rsidRPr="00F472E4">
              <w:rPr>
                <w:rFonts w:ascii="Aptos" w:hAnsi="Aptos" w:cs="Arial"/>
                <w:sz w:val="15"/>
                <w:szCs w:val="15"/>
                <w:lang w:val="es-ES"/>
              </w:rPr>
              <w:t xml:space="preserve"> €      </w:t>
            </w:r>
          </w:p>
          <w:p w14:paraId="69B86994" w14:textId="77777777" w:rsidR="00885A22" w:rsidRPr="00F472E4" w:rsidRDefault="00885A22" w:rsidP="00885A22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4B53" w14:textId="77777777" w:rsidR="00885A22" w:rsidRPr="00F472E4" w:rsidRDefault="00885A22" w:rsidP="00885A22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92F5" w14:textId="227EDBFF" w:rsidR="00885A22" w:rsidRPr="00F472E4" w:rsidRDefault="00885A22" w:rsidP="00885A22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PD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98BE" w14:textId="4864632C" w:rsidR="00885A22" w:rsidRPr="00F472E4" w:rsidRDefault="00885A22" w:rsidP="00885A22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 xml:space="preserve">D.G. de </w:t>
            </w:r>
            <w:r w:rsidR="00426C22">
              <w:rPr>
                <w:rFonts w:ascii="Aptos" w:hAnsi="Aptos" w:cs="Arial"/>
                <w:sz w:val="15"/>
                <w:szCs w:val="15"/>
                <w:lang w:val="es-ES"/>
              </w:rPr>
              <w:t>Economía Circular y Agenda 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A5C3" w14:textId="2EF0EF8F" w:rsidR="00885A22" w:rsidRPr="00F472E4" w:rsidRDefault="00885A22" w:rsidP="00885A22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Toledo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03AD" w14:textId="4175E88A" w:rsidR="00885A22" w:rsidRPr="00CA18FF" w:rsidRDefault="00F87285" w:rsidP="00885A22">
            <w:pPr>
              <w:jc w:val="both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87285">
              <w:rPr>
                <w:rFonts w:ascii="Aptos" w:eastAsia="Arial" w:hAnsi="Aptos" w:cs="Arial"/>
                <w:sz w:val="15"/>
                <w:szCs w:val="15"/>
                <w:lang w:val="es-ES"/>
              </w:rPr>
              <w:t>Control y seguimiento de las actuaciones de los órganos del gobierno regional para el cumplimiento de los objetivos de desarrollo sostenible y Agenda 2030. Asesoramiento y gestión de nivel superior en la creación de la estrategia regional. Elaboración, gestión, asesoramiento, información, supervisión y coordinación de planes y programas de Agenda 2030. Colaboración con otras Administraciones Públicas en materia de implantación global de la Agenda 2030</w:t>
            </w:r>
            <w:r>
              <w:rPr>
                <w:rFonts w:ascii="Aptos" w:eastAsia="Arial" w:hAnsi="Aptos" w:cs="Arial"/>
                <w:sz w:val="15"/>
                <w:szCs w:val="15"/>
                <w:lang w:val="es-ES"/>
              </w:rPr>
              <w:t>, así como cualquier otra competencia que le pueda ser asignadas en materias de su competencia.</w:t>
            </w:r>
          </w:p>
        </w:tc>
      </w:tr>
      <w:tr w:rsidR="00F472E4" w:rsidRPr="00F472E4" w14:paraId="039C0E0A" w14:textId="77777777" w:rsidTr="00C97168">
        <w:trPr>
          <w:trHeight w:hRule="exact" w:val="1351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FCCB" w14:textId="57F3FDBD" w:rsidR="00F472E4" w:rsidRPr="00F472E4" w:rsidRDefault="00885A22" w:rsidP="00691C0F">
            <w:pPr>
              <w:spacing w:line="245" w:lineRule="auto"/>
              <w:ind w:left="57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>
              <w:rPr>
                <w:rFonts w:ascii="Aptos" w:eastAsia="Arial" w:hAnsi="Aptos" w:cs="Arial"/>
                <w:sz w:val="15"/>
                <w:szCs w:val="15"/>
                <w:lang w:val="es-ES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B857" w14:textId="492EA50C" w:rsidR="00F472E4" w:rsidRPr="00F472E4" w:rsidRDefault="00F472E4" w:rsidP="00691C0F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84C0" w14:textId="789214E3" w:rsidR="00F472E4" w:rsidRPr="00F472E4" w:rsidRDefault="00EB43D0" w:rsidP="00691C0F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>11778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747E" w14:textId="713DB145" w:rsidR="00F472E4" w:rsidRPr="00F472E4" w:rsidRDefault="00EB43D0" w:rsidP="00691C0F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 xml:space="preserve">J. </w:t>
            </w:r>
            <w:proofErr w:type="spellStart"/>
            <w:r>
              <w:rPr>
                <w:rFonts w:ascii="Aptos" w:hAnsi="Aptos" w:cs="Arial"/>
                <w:sz w:val="15"/>
                <w:szCs w:val="15"/>
                <w:lang w:val="es-ES"/>
              </w:rPr>
              <w:t>Serv</w:t>
            </w:r>
            <w:proofErr w:type="spellEnd"/>
            <w:r>
              <w:rPr>
                <w:rFonts w:ascii="Aptos" w:hAnsi="Aptos" w:cs="Arial"/>
                <w:sz w:val="15"/>
                <w:szCs w:val="15"/>
                <w:lang w:val="es-ES"/>
              </w:rPr>
              <w:t>. Fomento Energético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EF33" w14:textId="4B60C2D7" w:rsidR="00F472E4" w:rsidRPr="00F472E4" w:rsidRDefault="00F472E4" w:rsidP="00691C0F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40CF" w14:textId="0B3F18C6" w:rsidR="00F472E4" w:rsidRPr="00F472E4" w:rsidRDefault="00EB43D0" w:rsidP="00691C0F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>A1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1167" w14:textId="0C069D17" w:rsidR="00F472E4" w:rsidRPr="00F472E4" w:rsidRDefault="00396D05" w:rsidP="00691C0F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EF7D" w14:textId="77777777" w:rsidR="00396D05" w:rsidRPr="00F472E4" w:rsidRDefault="00396D05" w:rsidP="00396D05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  <w:p w14:paraId="20987A16" w14:textId="77777777" w:rsidR="00396D05" w:rsidRPr="00F472E4" w:rsidRDefault="00396D05" w:rsidP="00396D05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 xml:space="preserve">26.328,24 €      </w:t>
            </w:r>
          </w:p>
          <w:p w14:paraId="1A3E6BD8" w14:textId="00A91DA3" w:rsidR="00F472E4" w:rsidRPr="00F472E4" w:rsidRDefault="00F472E4" w:rsidP="00AC2669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A1E5" w14:textId="77777777" w:rsidR="00F472E4" w:rsidRPr="00F472E4" w:rsidRDefault="00F472E4" w:rsidP="00691C0F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8EB4" w14:textId="2D7E3E40" w:rsidR="00F472E4" w:rsidRPr="00F472E4" w:rsidRDefault="00F472E4" w:rsidP="00691C0F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PD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784B" w14:textId="69A05858" w:rsidR="00F472E4" w:rsidRPr="00F472E4" w:rsidRDefault="00396D05" w:rsidP="00691C0F">
            <w:pPr>
              <w:jc w:val="center"/>
              <w:rPr>
                <w:rFonts w:ascii="Aptos" w:hAnsi="Aptos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>D.G. de Transición Energética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941C" w14:textId="7218B05B" w:rsidR="00F472E4" w:rsidRPr="00F472E4" w:rsidRDefault="00F472E4" w:rsidP="00691C0F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Toledo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5A82" w14:textId="77AE8859" w:rsidR="00F472E4" w:rsidRPr="00F472E4" w:rsidRDefault="00BB788A" w:rsidP="00396D05">
            <w:pPr>
              <w:jc w:val="both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BB788A">
              <w:rPr>
                <w:rFonts w:ascii="Aptos" w:eastAsia="Arial" w:hAnsi="Aptos" w:cs="Arial"/>
                <w:sz w:val="15"/>
                <w:szCs w:val="15"/>
                <w:lang w:val="es-ES"/>
              </w:rPr>
              <w:t xml:space="preserve">Asesoramiento y gestión de nivel superior tales como preparar, elaborar e informar disposiciones, programas o planes de actuación, redactar propuestas de resolución que no supongan aplicación repetitiva de Reglamentos y, en general, asumir la dirección, coordinación y control de los órganos de él dependientes en materia </w:t>
            </w:r>
            <w:r w:rsidR="00CD69EA" w:rsidRPr="00CD69EA">
              <w:rPr>
                <w:rFonts w:ascii="Aptos" w:eastAsia="Arial" w:hAnsi="Aptos" w:cs="Arial"/>
                <w:sz w:val="15"/>
                <w:szCs w:val="15"/>
                <w:lang w:val="es-ES"/>
              </w:rPr>
              <w:t>de programas de fomento del ahorro y la eficiencia energética, movilidad sostenible y bono social térmico</w:t>
            </w:r>
            <w:r w:rsidR="00CD69EA">
              <w:rPr>
                <w:rFonts w:ascii="Aptos" w:eastAsia="Arial" w:hAnsi="Aptos" w:cs="Arial"/>
                <w:sz w:val="15"/>
                <w:szCs w:val="15"/>
                <w:lang w:val="es-ES"/>
              </w:rPr>
              <w:t>.</w:t>
            </w:r>
          </w:p>
        </w:tc>
      </w:tr>
    </w:tbl>
    <w:p w14:paraId="58D69BE6" w14:textId="77777777" w:rsidR="00F472E4" w:rsidRDefault="00F472E4">
      <w:pPr>
        <w:rPr>
          <w:rFonts w:ascii="Aptos" w:hAnsi="Aptos" w:cs="Arial"/>
          <w:sz w:val="15"/>
          <w:szCs w:val="15"/>
          <w:lang w:val="es-ES"/>
        </w:rPr>
      </w:pPr>
    </w:p>
    <w:p w14:paraId="4109B428" w14:textId="77777777" w:rsidR="00615F77" w:rsidRDefault="00615F77">
      <w:pPr>
        <w:rPr>
          <w:rFonts w:ascii="Aptos" w:hAnsi="Aptos" w:cs="Arial"/>
          <w:sz w:val="15"/>
          <w:szCs w:val="15"/>
          <w:lang w:val="es-ES"/>
        </w:rPr>
      </w:pPr>
    </w:p>
    <w:p w14:paraId="715DA5CC" w14:textId="77777777" w:rsidR="00615F77" w:rsidRPr="00F472E4" w:rsidRDefault="00615F77" w:rsidP="00615F77">
      <w:pPr>
        <w:spacing w:before="40"/>
        <w:ind w:left="120"/>
        <w:rPr>
          <w:rFonts w:ascii="Aptos" w:hAnsi="Aptos"/>
          <w:b/>
          <w:sz w:val="16"/>
          <w:szCs w:val="15"/>
          <w:lang w:val="es-ES"/>
        </w:rPr>
      </w:pPr>
      <w:r w:rsidRPr="00F472E4">
        <w:rPr>
          <w:rFonts w:ascii="Aptos" w:eastAsia="Arial" w:hAnsi="Aptos" w:cs="Arial"/>
          <w:b/>
          <w:sz w:val="16"/>
          <w:szCs w:val="15"/>
          <w:lang w:val="es-ES"/>
        </w:rPr>
        <w:t>Consejería: 23.- Consejería de Desarrollo Sostenible</w:t>
      </w:r>
    </w:p>
    <w:p w14:paraId="1627D78D" w14:textId="6366D178" w:rsidR="00615F77" w:rsidRPr="00F472E4" w:rsidRDefault="00615F77" w:rsidP="00615F77">
      <w:pPr>
        <w:ind w:left="120"/>
        <w:rPr>
          <w:rFonts w:ascii="Aptos" w:eastAsia="Arial" w:hAnsi="Aptos" w:cs="Arial"/>
          <w:sz w:val="16"/>
          <w:szCs w:val="15"/>
          <w:lang w:val="es-ES"/>
        </w:rPr>
      </w:pPr>
      <w:r w:rsidRPr="00F472E4">
        <w:rPr>
          <w:rFonts w:ascii="Aptos" w:eastAsia="Arial" w:hAnsi="Aptos" w:cs="Arial"/>
          <w:b/>
          <w:sz w:val="16"/>
          <w:szCs w:val="15"/>
          <w:lang w:val="es-ES"/>
        </w:rPr>
        <w:t>Dependencia: 23.</w:t>
      </w:r>
      <w:r>
        <w:rPr>
          <w:rFonts w:ascii="Aptos" w:eastAsia="Arial" w:hAnsi="Aptos" w:cs="Arial"/>
          <w:b/>
          <w:sz w:val="16"/>
          <w:szCs w:val="15"/>
          <w:lang w:val="es-ES"/>
        </w:rPr>
        <w:t>13</w:t>
      </w:r>
      <w:r w:rsidRPr="00F472E4">
        <w:rPr>
          <w:rFonts w:ascii="Aptos" w:eastAsia="Arial" w:hAnsi="Aptos" w:cs="Arial"/>
          <w:b/>
          <w:sz w:val="16"/>
          <w:szCs w:val="15"/>
          <w:lang w:val="es-ES"/>
        </w:rPr>
        <w:t xml:space="preserve">.- </w:t>
      </w:r>
      <w:r>
        <w:rPr>
          <w:rFonts w:ascii="Aptos" w:eastAsia="Arial" w:hAnsi="Aptos" w:cs="Arial"/>
          <w:b/>
          <w:sz w:val="16"/>
          <w:szCs w:val="15"/>
          <w:lang w:val="es-ES"/>
        </w:rPr>
        <w:t>Ciudad Real</w:t>
      </w:r>
    </w:p>
    <w:tbl>
      <w:tblPr>
        <w:tblW w:w="150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83"/>
        <w:gridCol w:w="567"/>
        <w:gridCol w:w="2268"/>
        <w:gridCol w:w="425"/>
        <w:gridCol w:w="536"/>
        <w:gridCol w:w="315"/>
        <w:gridCol w:w="992"/>
        <w:gridCol w:w="1562"/>
        <w:gridCol w:w="423"/>
        <w:gridCol w:w="1701"/>
        <w:gridCol w:w="850"/>
        <w:gridCol w:w="4820"/>
      </w:tblGrid>
      <w:tr w:rsidR="00615F77" w:rsidRPr="00F472E4" w14:paraId="1984E050" w14:textId="77777777" w:rsidTr="00615F77">
        <w:trPr>
          <w:trHeight w:hRule="exact" w:val="517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056E" w14:textId="77777777" w:rsidR="00615F77" w:rsidRPr="00F472E4" w:rsidRDefault="00615F77" w:rsidP="008A33A4">
            <w:pPr>
              <w:spacing w:before="58"/>
              <w:ind w:left="112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proofErr w:type="spellStart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Nº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1232" w14:textId="77777777" w:rsidR="00615F77" w:rsidRPr="00F472E4" w:rsidRDefault="00615F77" w:rsidP="008A33A4">
            <w:pPr>
              <w:spacing w:before="58"/>
              <w:jc w:val="center"/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Cl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DBB5" w14:textId="77777777" w:rsidR="00615F77" w:rsidRPr="00F472E4" w:rsidRDefault="00615F77" w:rsidP="008A33A4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Código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9CE6" w14:textId="77777777" w:rsidR="00615F77" w:rsidRPr="00F472E4" w:rsidRDefault="00615F77" w:rsidP="008A33A4">
            <w:pPr>
              <w:spacing w:before="58"/>
              <w:ind w:left="141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 Denominación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DFF" w14:textId="77777777" w:rsidR="00615F77" w:rsidRPr="00F472E4" w:rsidRDefault="00615F77" w:rsidP="008A33A4">
            <w:pPr>
              <w:spacing w:before="58"/>
              <w:ind w:left="94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NP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C55" w14:textId="77777777" w:rsidR="00615F77" w:rsidRPr="00F472E4" w:rsidRDefault="00615F77" w:rsidP="008A33A4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GP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614C" w14:textId="77777777" w:rsidR="00615F77" w:rsidRPr="00F472E4" w:rsidRDefault="00615F77" w:rsidP="008A33A4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9831" w14:textId="77777777" w:rsidR="00615F77" w:rsidRPr="00F472E4" w:rsidRDefault="00615F77" w:rsidP="008A33A4">
            <w:pPr>
              <w:spacing w:before="58"/>
              <w:ind w:left="78"/>
              <w:jc w:val="center"/>
              <w:rPr>
                <w:rFonts w:ascii="Aptos" w:eastAsia="Arial" w:hAnsi="Aptos" w:cs="Arial"/>
                <w:color w:val="FF0000"/>
                <w:sz w:val="15"/>
                <w:szCs w:val="15"/>
                <w:lang w:val="es-ES"/>
              </w:rPr>
            </w:pPr>
            <w:proofErr w:type="spellStart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Compl</w:t>
            </w:r>
            <w:proofErr w:type="spellEnd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. </w:t>
            </w:r>
            <w:proofErr w:type="spellStart"/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Espec</w:t>
            </w:r>
            <w:proofErr w:type="spellEnd"/>
            <w:r w:rsidRPr="00F472E4">
              <w:rPr>
                <w:rFonts w:ascii="Aptos" w:eastAsia="Arial" w:hAnsi="Aptos" w:cs="Arial"/>
                <w:b/>
                <w:color w:val="FF0000"/>
                <w:sz w:val="15"/>
                <w:szCs w:val="15"/>
                <w:lang w:val="es-ES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8C1B" w14:textId="77777777" w:rsidR="00615F77" w:rsidRPr="00F472E4" w:rsidRDefault="00615F77" w:rsidP="008A33A4">
            <w:pPr>
              <w:spacing w:before="58"/>
              <w:ind w:left="96"/>
              <w:jc w:val="center"/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Titulación</w:t>
            </w:r>
          </w:p>
          <w:p w14:paraId="4814CEC3" w14:textId="77777777" w:rsidR="00615F77" w:rsidRPr="00F472E4" w:rsidRDefault="00615F77" w:rsidP="008A33A4">
            <w:pPr>
              <w:spacing w:before="58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Requisitos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D858" w14:textId="77777777" w:rsidR="00615F77" w:rsidRPr="00F472E4" w:rsidRDefault="00615F77" w:rsidP="008A33A4">
            <w:pPr>
              <w:spacing w:before="58"/>
              <w:ind w:left="101" w:right="101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TJ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8913" w14:textId="77777777" w:rsidR="00615F77" w:rsidRPr="00F472E4" w:rsidRDefault="00615F77" w:rsidP="008A33A4">
            <w:pPr>
              <w:spacing w:before="58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   Centro de Trabajo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8754" w14:textId="77777777" w:rsidR="00615F77" w:rsidRPr="00F472E4" w:rsidRDefault="00615F77" w:rsidP="008A33A4">
            <w:pPr>
              <w:spacing w:before="58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 xml:space="preserve">  </w:t>
            </w: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Provincia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6ACB" w14:textId="77777777" w:rsidR="00615F77" w:rsidRPr="00F472E4" w:rsidRDefault="00615F77" w:rsidP="008A33A4">
            <w:pPr>
              <w:spacing w:before="58"/>
              <w:ind w:left="142" w:right="142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eastAsia="Arial" w:hAnsi="Aptos" w:cs="Arial"/>
                <w:b/>
                <w:sz w:val="15"/>
                <w:szCs w:val="15"/>
                <w:lang w:val="es-ES"/>
              </w:rPr>
              <w:t>Funciones del Puesto</w:t>
            </w:r>
          </w:p>
        </w:tc>
      </w:tr>
      <w:tr w:rsidR="00615F77" w:rsidRPr="00F472E4" w14:paraId="5ED9F5F1" w14:textId="77777777" w:rsidTr="00615F77">
        <w:trPr>
          <w:trHeight w:hRule="exact" w:val="916"/>
          <w:jc w:val="center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2C90" w14:textId="33C2D97B" w:rsidR="00615F77" w:rsidRPr="00F472E4" w:rsidRDefault="00885A22" w:rsidP="008A33A4">
            <w:pPr>
              <w:spacing w:line="245" w:lineRule="auto"/>
              <w:ind w:left="57"/>
              <w:jc w:val="center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>
              <w:rPr>
                <w:rFonts w:ascii="Aptos" w:eastAsia="Arial" w:hAnsi="Aptos" w:cs="Arial"/>
                <w:sz w:val="15"/>
                <w:szCs w:val="15"/>
                <w:lang w:val="es-ES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5F6F" w14:textId="77777777" w:rsidR="00615F77" w:rsidRPr="00F472E4" w:rsidRDefault="00615F77" w:rsidP="008A33A4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1E55" w14:textId="121E6031" w:rsidR="00615F77" w:rsidRPr="00F472E4" w:rsidRDefault="00615F77" w:rsidP="008A33A4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>08636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8A21" w14:textId="2AFE9ABC" w:rsidR="00615F77" w:rsidRPr="00F472E4" w:rsidRDefault="00615F77" w:rsidP="008A33A4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proofErr w:type="spellStart"/>
            <w:proofErr w:type="gramStart"/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J.Serv</w:t>
            </w:r>
            <w:proofErr w:type="spellEnd"/>
            <w:proofErr w:type="gramEnd"/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.</w:t>
            </w:r>
            <w:r>
              <w:rPr>
                <w:rFonts w:ascii="Aptos" w:hAnsi="Aptos" w:cs="Arial"/>
                <w:sz w:val="15"/>
                <w:szCs w:val="15"/>
                <w:lang w:val="es-ES"/>
              </w:rPr>
              <w:t xml:space="preserve"> Calidad Ambiental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F95E" w14:textId="77777777" w:rsidR="00615F77" w:rsidRPr="00F472E4" w:rsidRDefault="00615F77" w:rsidP="008A33A4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5BC6" w14:textId="3BB4F06C" w:rsidR="00615F77" w:rsidRPr="00F472E4" w:rsidRDefault="00615F77" w:rsidP="008A33A4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A1</w:t>
            </w:r>
            <w:r>
              <w:rPr>
                <w:rFonts w:ascii="Aptos" w:hAnsi="Aptos" w:cs="Arial"/>
                <w:sz w:val="15"/>
                <w:szCs w:val="15"/>
                <w:lang w:val="es-ES"/>
              </w:rPr>
              <w:t>/A2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7F7C" w14:textId="0B7A2DC0" w:rsidR="00615F77" w:rsidRPr="00F472E4" w:rsidRDefault="00615F77" w:rsidP="008A33A4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2</w:t>
            </w:r>
            <w:r>
              <w:rPr>
                <w:rFonts w:ascii="Aptos" w:hAnsi="Aptos" w:cs="Arial"/>
                <w:sz w:val="15"/>
                <w:szCs w:val="15"/>
                <w:lang w:val="es-E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BFF8" w14:textId="77777777" w:rsidR="00615F77" w:rsidRPr="00F472E4" w:rsidRDefault="00615F77" w:rsidP="008A33A4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  <w:p w14:paraId="761953C0" w14:textId="661436D9" w:rsidR="00615F77" w:rsidRPr="00F472E4" w:rsidRDefault="00615F77" w:rsidP="008A33A4">
            <w:pPr>
              <w:ind w:left="141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615F77">
              <w:rPr>
                <w:rFonts w:ascii="Aptos" w:hAnsi="Aptos" w:cs="Arial"/>
                <w:sz w:val="15"/>
                <w:szCs w:val="15"/>
                <w:lang w:val="es-ES"/>
              </w:rPr>
              <w:t>22.599,84</w:t>
            </w:r>
            <w:r>
              <w:rPr>
                <w:rFonts w:ascii="Aptos" w:hAnsi="Aptos" w:cs="Arial"/>
                <w:sz w:val="15"/>
                <w:szCs w:val="15"/>
                <w:lang w:val="es-ES"/>
              </w:rPr>
              <w:t xml:space="preserve"> </w:t>
            </w: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 xml:space="preserve">€      </w:t>
            </w:r>
          </w:p>
          <w:p w14:paraId="44AED19B" w14:textId="77777777" w:rsidR="00615F77" w:rsidRPr="00F472E4" w:rsidRDefault="00615F77" w:rsidP="008A33A4">
            <w:pPr>
              <w:jc w:val="center"/>
              <w:rPr>
                <w:rFonts w:ascii="Aptos" w:hAnsi="Aptos" w:cs="Arial"/>
                <w:color w:val="FF0000"/>
                <w:sz w:val="15"/>
                <w:szCs w:val="15"/>
                <w:lang w:val="es-E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EDAC" w14:textId="77777777" w:rsidR="00615F77" w:rsidRPr="00F472E4" w:rsidRDefault="00615F77" w:rsidP="008A33A4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821A" w14:textId="77777777" w:rsidR="00615F77" w:rsidRPr="00F472E4" w:rsidRDefault="00615F77" w:rsidP="008A33A4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 w:rsidRPr="00F472E4">
              <w:rPr>
                <w:rFonts w:ascii="Aptos" w:hAnsi="Aptos" w:cs="Arial"/>
                <w:sz w:val="15"/>
                <w:szCs w:val="15"/>
                <w:lang w:val="es-ES"/>
              </w:rPr>
              <w:t>PD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F624" w14:textId="34983A7D" w:rsidR="00615F77" w:rsidRPr="00F472E4" w:rsidRDefault="00615F77" w:rsidP="008A33A4">
            <w:pPr>
              <w:jc w:val="center"/>
              <w:rPr>
                <w:rFonts w:ascii="Aptos" w:hAnsi="Aptos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>D.G. de Calidad Ambiental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93A1" w14:textId="12E3729B" w:rsidR="00615F77" w:rsidRPr="00F472E4" w:rsidRDefault="00615F77" w:rsidP="008A33A4">
            <w:pPr>
              <w:jc w:val="center"/>
              <w:rPr>
                <w:rFonts w:ascii="Aptos" w:hAnsi="Aptos" w:cs="Arial"/>
                <w:sz w:val="15"/>
                <w:szCs w:val="15"/>
                <w:lang w:val="es-ES"/>
              </w:rPr>
            </w:pPr>
            <w:r>
              <w:rPr>
                <w:rFonts w:ascii="Aptos" w:hAnsi="Aptos" w:cs="Arial"/>
                <w:sz w:val="15"/>
                <w:szCs w:val="15"/>
                <w:lang w:val="es-ES"/>
              </w:rPr>
              <w:t>Ciudad Real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4514" w14:textId="3518969B" w:rsidR="00615F77" w:rsidRPr="00F472E4" w:rsidRDefault="004920A4" w:rsidP="008A33A4">
            <w:pPr>
              <w:jc w:val="both"/>
              <w:rPr>
                <w:rFonts w:ascii="Aptos" w:eastAsia="Arial" w:hAnsi="Aptos" w:cs="Arial"/>
                <w:sz w:val="15"/>
                <w:szCs w:val="15"/>
                <w:lang w:val="es-ES"/>
              </w:rPr>
            </w:pPr>
            <w:r w:rsidRPr="004920A4">
              <w:rPr>
                <w:rFonts w:ascii="Aptos" w:eastAsia="Arial" w:hAnsi="Aptos" w:cs="Arial"/>
                <w:sz w:val="15"/>
                <w:szCs w:val="15"/>
                <w:lang w:val="es-ES"/>
              </w:rPr>
              <w:t>Asesoramiento y gestión de nivel superior tales como preparar, elaborar e informar disposiciones, programas o planes de actuación, redactar propuestas de resolución que no supongan aplicación repetitiva de Reglamentos y en general asumir la dirección, coordinación y control de los órganos de él dependientes en materia de Calidad Ambiental.</w:t>
            </w:r>
          </w:p>
        </w:tc>
      </w:tr>
    </w:tbl>
    <w:p w14:paraId="41C56E5C" w14:textId="77777777" w:rsidR="00615F77" w:rsidRDefault="00615F77">
      <w:pPr>
        <w:rPr>
          <w:rFonts w:ascii="Aptos" w:hAnsi="Aptos" w:cs="Arial"/>
          <w:sz w:val="15"/>
          <w:szCs w:val="15"/>
          <w:lang w:val="es-ES"/>
        </w:rPr>
      </w:pPr>
    </w:p>
    <w:p w14:paraId="5EB9C1D3" w14:textId="77777777" w:rsidR="00615F77" w:rsidRPr="00F472E4" w:rsidRDefault="00615F77">
      <w:pPr>
        <w:rPr>
          <w:rFonts w:ascii="Aptos" w:hAnsi="Aptos" w:cs="Arial"/>
          <w:sz w:val="15"/>
          <w:szCs w:val="15"/>
          <w:lang w:val="es-ES"/>
        </w:rPr>
      </w:pPr>
    </w:p>
    <w:p w14:paraId="1DB1A6C4" w14:textId="77777777" w:rsidR="003E0D22" w:rsidRPr="00F472E4" w:rsidRDefault="003E0D22" w:rsidP="007D403C">
      <w:pPr>
        <w:tabs>
          <w:tab w:val="left" w:pos="415"/>
          <w:tab w:val="left" w:pos="2991"/>
          <w:tab w:val="left" w:pos="4395"/>
          <w:tab w:val="left" w:pos="4751"/>
          <w:tab w:val="left" w:pos="5067"/>
          <w:tab w:val="left" w:pos="5383"/>
          <w:tab w:val="left" w:pos="7943"/>
          <w:tab w:val="left" w:pos="8299"/>
          <w:tab w:val="left" w:pos="9075"/>
        </w:tabs>
        <w:ind w:left="70"/>
        <w:jc w:val="both"/>
        <w:outlineLvl w:val="0"/>
        <w:rPr>
          <w:rFonts w:ascii="Aptos" w:hAnsi="Aptos" w:cs="Arial"/>
          <w:sz w:val="15"/>
          <w:szCs w:val="15"/>
          <w:u w:val="single"/>
          <w:lang w:val="es-ES"/>
        </w:rPr>
      </w:pPr>
    </w:p>
    <w:sectPr w:rsidR="003E0D22" w:rsidRPr="00F472E4" w:rsidSect="00D12F79">
      <w:headerReference w:type="default" r:id="rId8"/>
      <w:footerReference w:type="default" r:id="rId9"/>
      <w:pgSz w:w="16840" w:h="11900" w:orient="landscape"/>
      <w:pgMar w:top="1100" w:right="822" w:bottom="1135" w:left="567" w:header="0" w:footer="4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7C8BB" w14:textId="77777777" w:rsidR="00C70BB1" w:rsidRDefault="00C70BB1">
      <w:r>
        <w:separator/>
      </w:r>
    </w:p>
  </w:endnote>
  <w:endnote w:type="continuationSeparator" w:id="0">
    <w:p w14:paraId="17ED7E51" w14:textId="77777777" w:rsidR="00C70BB1" w:rsidRDefault="00C7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AD5EB" w14:textId="77777777" w:rsidR="00C70BB1" w:rsidRPr="00B06D6E" w:rsidRDefault="00C70BB1" w:rsidP="00B03394">
    <w:pPr>
      <w:tabs>
        <w:tab w:val="left" w:pos="415"/>
        <w:tab w:val="left" w:pos="2991"/>
        <w:tab w:val="left" w:pos="4395"/>
        <w:tab w:val="left" w:pos="4751"/>
        <w:tab w:val="left" w:pos="5067"/>
        <w:tab w:val="left" w:pos="5383"/>
        <w:tab w:val="left" w:pos="7943"/>
        <w:tab w:val="left" w:pos="8299"/>
        <w:tab w:val="left" w:pos="9075"/>
      </w:tabs>
      <w:ind w:left="70"/>
      <w:jc w:val="both"/>
      <w:outlineLvl w:val="0"/>
      <w:rPr>
        <w:rFonts w:ascii="Arial" w:hAnsi="Arial" w:cs="Arial"/>
        <w:sz w:val="15"/>
        <w:szCs w:val="15"/>
        <w:u w:val="single"/>
        <w:lang w:val="es-ES"/>
      </w:rPr>
    </w:pPr>
    <w:r w:rsidRPr="00B06D6E">
      <w:rPr>
        <w:rFonts w:ascii="Arial" w:hAnsi="Arial" w:cs="Arial"/>
        <w:sz w:val="15"/>
        <w:szCs w:val="15"/>
        <w:u w:val="single"/>
        <w:lang w:val="es-ES"/>
      </w:rPr>
      <w:t>Nota: Interpretación claves</w:t>
    </w:r>
  </w:p>
  <w:p w14:paraId="19DD7476" w14:textId="77777777" w:rsidR="00C70BB1" w:rsidRPr="00B06D6E" w:rsidRDefault="00C70BB1" w:rsidP="00B03394">
    <w:pPr>
      <w:tabs>
        <w:tab w:val="left" w:pos="415"/>
        <w:tab w:val="left" w:pos="2991"/>
        <w:tab w:val="left" w:pos="4395"/>
        <w:tab w:val="left" w:pos="4751"/>
        <w:tab w:val="left" w:pos="5067"/>
        <w:tab w:val="left" w:pos="5383"/>
        <w:tab w:val="left" w:pos="7943"/>
        <w:tab w:val="left" w:pos="8299"/>
        <w:tab w:val="left" w:pos="9075"/>
      </w:tabs>
      <w:ind w:left="70"/>
      <w:jc w:val="both"/>
      <w:outlineLvl w:val="0"/>
      <w:rPr>
        <w:rFonts w:ascii="Arial" w:hAnsi="Arial" w:cs="Arial"/>
        <w:sz w:val="15"/>
        <w:szCs w:val="15"/>
        <w:u w:val="single"/>
        <w:lang w:val="es-ES"/>
      </w:rPr>
    </w:pP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  <w:r w:rsidRPr="00B06D6E">
      <w:rPr>
        <w:rFonts w:ascii="Arial" w:hAnsi="Arial" w:cs="Arial"/>
        <w:sz w:val="15"/>
        <w:szCs w:val="15"/>
        <w:lang w:val="es-ES"/>
      </w:rPr>
      <w:tab/>
    </w:r>
  </w:p>
  <w:p w14:paraId="5FC99AE9" w14:textId="77777777" w:rsidR="00C70BB1" w:rsidRDefault="00C70BB1" w:rsidP="00B03394">
    <w:pPr>
      <w:tabs>
        <w:tab w:val="left" w:pos="-2127"/>
        <w:tab w:val="left" w:pos="7943"/>
        <w:tab w:val="left" w:pos="8299"/>
        <w:tab w:val="left" w:pos="9075"/>
      </w:tabs>
      <w:ind w:left="70"/>
      <w:jc w:val="both"/>
      <w:rPr>
        <w:rFonts w:ascii="Arial" w:hAnsi="Arial" w:cs="Arial"/>
        <w:sz w:val="15"/>
        <w:szCs w:val="15"/>
        <w:lang w:val="es-ES"/>
      </w:rPr>
    </w:pPr>
    <w:r w:rsidRPr="00B06D6E">
      <w:rPr>
        <w:rFonts w:ascii="Arial" w:hAnsi="Arial" w:cs="Arial"/>
        <w:sz w:val="15"/>
        <w:szCs w:val="15"/>
        <w:lang w:val="es-ES"/>
      </w:rPr>
      <w:t xml:space="preserve">a      Puestos </w:t>
    </w:r>
    <w:bookmarkStart w:id="1" w:name="OLE_LINK2"/>
    <w:bookmarkStart w:id="2" w:name="OLE_LINK1"/>
    <w:r w:rsidRPr="00B06D6E">
      <w:rPr>
        <w:rFonts w:ascii="Arial" w:hAnsi="Arial" w:cs="Arial"/>
        <w:sz w:val="15"/>
        <w:szCs w:val="15"/>
        <w:lang w:val="es-ES"/>
      </w:rPr>
      <w:t>de adscripción indistinta para personal funcionario de las diferentes Administraciones Públicas.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234B9" w14:textId="77777777" w:rsidR="00C70BB1" w:rsidRDefault="00C70BB1">
      <w:r>
        <w:separator/>
      </w:r>
    </w:p>
  </w:footnote>
  <w:footnote w:type="continuationSeparator" w:id="0">
    <w:p w14:paraId="59738720" w14:textId="77777777" w:rsidR="00C70BB1" w:rsidRDefault="00C7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DE4A5" w14:textId="77777777" w:rsidR="00C70BB1" w:rsidRDefault="00C70BB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67665"/>
    <w:multiLevelType w:val="hybridMultilevel"/>
    <w:tmpl w:val="993E6D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15AD8"/>
    <w:multiLevelType w:val="multilevel"/>
    <w:tmpl w:val="B25CF4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78"/>
    <w:rsid w:val="00016178"/>
    <w:rsid w:val="00022DE6"/>
    <w:rsid w:val="00027D41"/>
    <w:rsid w:val="00036398"/>
    <w:rsid w:val="00036D2F"/>
    <w:rsid w:val="00047E29"/>
    <w:rsid w:val="00050ABC"/>
    <w:rsid w:val="00053297"/>
    <w:rsid w:val="0006603A"/>
    <w:rsid w:val="000714B1"/>
    <w:rsid w:val="00083781"/>
    <w:rsid w:val="000B3390"/>
    <w:rsid w:val="000B37F5"/>
    <w:rsid w:val="000B47B3"/>
    <w:rsid w:val="000B5D14"/>
    <w:rsid w:val="000C3C76"/>
    <w:rsid w:val="000D4C80"/>
    <w:rsid w:val="000E1550"/>
    <w:rsid w:val="000E1EED"/>
    <w:rsid w:val="000E2C4F"/>
    <w:rsid w:val="000F501B"/>
    <w:rsid w:val="000F7817"/>
    <w:rsid w:val="00106C21"/>
    <w:rsid w:val="00116578"/>
    <w:rsid w:val="00116EDB"/>
    <w:rsid w:val="00121ED2"/>
    <w:rsid w:val="00123570"/>
    <w:rsid w:val="00123927"/>
    <w:rsid w:val="0013272A"/>
    <w:rsid w:val="00135F45"/>
    <w:rsid w:val="00142547"/>
    <w:rsid w:val="00147F45"/>
    <w:rsid w:val="0015354A"/>
    <w:rsid w:val="00153CE4"/>
    <w:rsid w:val="00154B09"/>
    <w:rsid w:val="00160EFA"/>
    <w:rsid w:val="00161B20"/>
    <w:rsid w:val="001649E1"/>
    <w:rsid w:val="00165EB7"/>
    <w:rsid w:val="00171512"/>
    <w:rsid w:val="00174A7E"/>
    <w:rsid w:val="0019727B"/>
    <w:rsid w:val="001A1696"/>
    <w:rsid w:val="001B3875"/>
    <w:rsid w:val="001C3DC8"/>
    <w:rsid w:val="001E25C9"/>
    <w:rsid w:val="001E3017"/>
    <w:rsid w:val="001E5A8A"/>
    <w:rsid w:val="001F0903"/>
    <w:rsid w:val="00203A24"/>
    <w:rsid w:val="002040A7"/>
    <w:rsid w:val="00212FEB"/>
    <w:rsid w:val="002174A8"/>
    <w:rsid w:val="00226204"/>
    <w:rsid w:val="00233C33"/>
    <w:rsid w:val="0023748D"/>
    <w:rsid w:val="00243FB8"/>
    <w:rsid w:val="00244392"/>
    <w:rsid w:val="0024643F"/>
    <w:rsid w:val="0027207E"/>
    <w:rsid w:val="00277DDC"/>
    <w:rsid w:val="0028624C"/>
    <w:rsid w:val="0028769A"/>
    <w:rsid w:val="002A1574"/>
    <w:rsid w:val="002A1B57"/>
    <w:rsid w:val="002A538B"/>
    <w:rsid w:val="002A611B"/>
    <w:rsid w:val="002B4382"/>
    <w:rsid w:val="002E2CFF"/>
    <w:rsid w:val="002E3257"/>
    <w:rsid w:val="00301654"/>
    <w:rsid w:val="00320E83"/>
    <w:rsid w:val="00326F8B"/>
    <w:rsid w:val="00336810"/>
    <w:rsid w:val="003403C9"/>
    <w:rsid w:val="0034721A"/>
    <w:rsid w:val="00347A04"/>
    <w:rsid w:val="003534FA"/>
    <w:rsid w:val="00354F6E"/>
    <w:rsid w:val="00355C0A"/>
    <w:rsid w:val="00360E77"/>
    <w:rsid w:val="003614C6"/>
    <w:rsid w:val="003733AB"/>
    <w:rsid w:val="0038042C"/>
    <w:rsid w:val="00387DF4"/>
    <w:rsid w:val="00393C2A"/>
    <w:rsid w:val="00396D05"/>
    <w:rsid w:val="003979D5"/>
    <w:rsid w:val="003A3113"/>
    <w:rsid w:val="003B4ECB"/>
    <w:rsid w:val="003C4D34"/>
    <w:rsid w:val="003C4D40"/>
    <w:rsid w:val="003C55E5"/>
    <w:rsid w:val="003D0306"/>
    <w:rsid w:val="003D7875"/>
    <w:rsid w:val="003E0D22"/>
    <w:rsid w:val="003F7A2E"/>
    <w:rsid w:val="004038A1"/>
    <w:rsid w:val="0041554A"/>
    <w:rsid w:val="004253D8"/>
    <w:rsid w:val="00426C22"/>
    <w:rsid w:val="00442D93"/>
    <w:rsid w:val="004471AD"/>
    <w:rsid w:val="00477205"/>
    <w:rsid w:val="00482487"/>
    <w:rsid w:val="00491629"/>
    <w:rsid w:val="004920A4"/>
    <w:rsid w:val="00496D27"/>
    <w:rsid w:val="004A1AD6"/>
    <w:rsid w:val="004A4FFF"/>
    <w:rsid w:val="004A6E6B"/>
    <w:rsid w:val="004B1AC6"/>
    <w:rsid w:val="004B1ACE"/>
    <w:rsid w:val="004C0FBE"/>
    <w:rsid w:val="004C34FB"/>
    <w:rsid w:val="004D5BA8"/>
    <w:rsid w:val="004E274F"/>
    <w:rsid w:val="004F1CD0"/>
    <w:rsid w:val="004F2DEE"/>
    <w:rsid w:val="004F4A59"/>
    <w:rsid w:val="00503098"/>
    <w:rsid w:val="005047C6"/>
    <w:rsid w:val="00506721"/>
    <w:rsid w:val="00513EBA"/>
    <w:rsid w:val="00516D34"/>
    <w:rsid w:val="0052207E"/>
    <w:rsid w:val="00544CA8"/>
    <w:rsid w:val="00550BCA"/>
    <w:rsid w:val="00556760"/>
    <w:rsid w:val="00563764"/>
    <w:rsid w:val="00564D5F"/>
    <w:rsid w:val="00571074"/>
    <w:rsid w:val="0057322C"/>
    <w:rsid w:val="005734CF"/>
    <w:rsid w:val="00576357"/>
    <w:rsid w:val="00585FFD"/>
    <w:rsid w:val="00586AE2"/>
    <w:rsid w:val="00587F47"/>
    <w:rsid w:val="0059037B"/>
    <w:rsid w:val="00591A01"/>
    <w:rsid w:val="005956F2"/>
    <w:rsid w:val="005A017F"/>
    <w:rsid w:val="005A1547"/>
    <w:rsid w:val="005A6687"/>
    <w:rsid w:val="005D156A"/>
    <w:rsid w:val="005D48AA"/>
    <w:rsid w:val="005E2464"/>
    <w:rsid w:val="005E6F43"/>
    <w:rsid w:val="005F1FD2"/>
    <w:rsid w:val="005F5AB3"/>
    <w:rsid w:val="00605D04"/>
    <w:rsid w:val="00615F77"/>
    <w:rsid w:val="0061703F"/>
    <w:rsid w:val="00621F4E"/>
    <w:rsid w:val="00635F89"/>
    <w:rsid w:val="00637690"/>
    <w:rsid w:val="0065232C"/>
    <w:rsid w:val="00654785"/>
    <w:rsid w:val="0066036A"/>
    <w:rsid w:val="00673381"/>
    <w:rsid w:val="006904A2"/>
    <w:rsid w:val="00690761"/>
    <w:rsid w:val="00691C0F"/>
    <w:rsid w:val="006A319A"/>
    <w:rsid w:val="006A3AFE"/>
    <w:rsid w:val="006B3E54"/>
    <w:rsid w:val="006C46EF"/>
    <w:rsid w:val="006C501D"/>
    <w:rsid w:val="006C5E5C"/>
    <w:rsid w:val="006D291A"/>
    <w:rsid w:val="006D437E"/>
    <w:rsid w:val="006F0776"/>
    <w:rsid w:val="006F772A"/>
    <w:rsid w:val="007155B0"/>
    <w:rsid w:val="00742497"/>
    <w:rsid w:val="00751FFC"/>
    <w:rsid w:val="00756916"/>
    <w:rsid w:val="00762285"/>
    <w:rsid w:val="00774CA3"/>
    <w:rsid w:val="00783DC5"/>
    <w:rsid w:val="00784297"/>
    <w:rsid w:val="00791216"/>
    <w:rsid w:val="007938F6"/>
    <w:rsid w:val="00796E42"/>
    <w:rsid w:val="007B1BDD"/>
    <w:rsid w:val="007C57ED"/>
    <w:rsid w:val="007D403C"/>
    <w:rsid w:val="007E0848"/>
    <w:rsid w:val="007E7DD0"/>
    <w:rsid w:val="007F0C22"/>
    <w:rsid w:val="007F0C84"/>
    <w:rsid w:val="007F3534"/>
    <w:rsid w:val="007F6BF2"/>
    <w:rsid w:val="00817B1A"/>
    <w:rsid w:val="00826C72"/>
    <w:rsid w:val="00833B76"/>
    <w:rsid w:val="00834BC9"/>
    <w:rsid w:val="008412DB"/>
    <w:rsid w:val="00844BDD"/>
    <w:rsid w:val="0085112D"/>
    <w:rsid w:val="00852C4E"/>
    <w:rsid w:val="00855428"/>
    <w:rsid w:val="00860132"/>
    <w:rsid w:val="00860D5F"/>
    <w:rsid w:val="00870F91"/>
    <w:rsid w:val="008730DE"/>
    <w:rsid w:val="008764A4"/>
    <w:rsid w:val="00880597"/>
    <w:rsid w:val="0088197C"/>
    <w:rsid w:val="00883F00"/>
    <w:rsid w:val="00885A22"/>
    <w:rsid w:val="008878F2"/>
    <w:rsid w:val="008911EA"/>
    <w:rsid w:val="0089316F"/>
    <w:rsid w:val="008A0DC4"/>
    <w:rsid w:val="008A2E31"/>
    <w:rsid w:val="008A51B5"/>
    <w:rsid w:val="008B32F7"/>
    <w:rsid w:val="008B3FA9"/>
    <w:rsid w:val="008B4A3A"/>
    <w:rsid w:val="008B6237"/>
    <w:rsid w:val="008D6CCA"/>
    <w:rsid w:val="008E2B5C"/>
    <w:rsid w:val="008E2DD0"/>
    <w:rsid w:val="008E4F70"/>
    <w:rsid w:val="008F78BA"/>
    <w:rsid w:val="009008D7"/>
    <w:rsid w:val="00902C99"/>
    <w:rsid w:val="00906453"/>
    <w:rsid w:val="00911BD6"/>
    <w:rsid w:val="00931CE3"/>
    <w:rsid w:val="0093284B"/>
    <w:rsid w:val="00936114"/>
    <w:rsid w:val="00937960"/>
    <w:rsid w:val="009634AA"/>
    <w:rsid w:val="00967023"/>
    <w:rsid w:val="00975AB6"/>
    <w:rsid w:val="0097785F"/>
    <w:rsid w:val="009839C4"/>
    <w:rsid w:val="0099517E"/>
    <w:rsid w:val="009A0D37"/>
    <w:rsid w:val="009A41BB"/>
    <w:rsid w:val="009A705D"/>
    <w:rsid w:val="009B2E04"/>
    <w:rsid w:val="009B5B3F"/>
    <w:rsid w:val="009C385C"/>
    <w:rsid w:val="009D0B8B"/>
    <w:rsid w:val="009D0C85"/>
    <w:rsid w:val="009E5782"/>
    <w:rsid w:val="009F120A"/>
    <w:rsid w:val="009F2641"/>
    <w:rsid w:val="009F6B89"/>
    <w:rsid w:val="00A0089B"/>
    <w:rsid w:val="00A06AC7"/>
    <w:rsid w:val="00A11327"/>
    <w:rsid w:val="00A23150"/>
    <w:rsid w:val="00A24151"/>
    <w:rsid w:val="00A35192"/>
    <w:rsid w:val="00A37AEB"/>
    <w:rsid w:val="00A43086"/>
    <w:rsid w:val="00A45F50"/>
    <w:rsid w:val="00A4705E"/>
    <w:rsid w:val="00A52635"/>
    <w:rsid w:val="00A653C9"/>
    <w:rsid w:val="00A671CC"/>
    <w:rsid w:val="00A90C86"/>
    <w:rsid w:val="00A929E4"/>
    <w:rsid w:val="00A97B70"/>
    <w:rsid w:val="00AA2916"/>
    <w:rsid w:val="00AA335E"/>
    <w:rsid w:val="00AA67F2"/>
    <w:rsid w:val="00AB78DD"/>
    <w:rsid w:val="00AC03E6"/>
    <w:rsid w:val="00AC2669"/>
    <w:rsid w:val="00AD1949"/>
    <w:rsid w:val="00AD6558"/>
    <w:rsid w:val="00AD73BD"/>
    <w:rsid w:val="00AE4437"/>
    <w:rsid w:val="00AE7054"/>
    <w:rsid w:val="00AF0B44"/>
    <w:rsid w:val="00AF0E16"/>
    <w:rsid w:val="00AF12CA"/>
    <w:rsid w:val="00B03394"/>
    <w:rsid w:val="00B05869"/>
    <w:rsid w:val="00B06D6E"/>
    <w:rsid w:val="00B17FC2"/>
    <w:rsid w:val="00B238D2"/>
    <w:rsid w:val="00B31FBF"/>
    <w:rsid w:val="00B32FE6"/>
    <w:rsid w:val="00B43A0C"/>
    <w:rsid w:val="00B45EA8"/>
    <w:rsid w:val="00B45F97"/>
    <w:rsid w:val="00B578CB"/>
    <w:rsid w:val="00B6059C"/>
    <w:rsid w:val="00B608F6"/>
    <w:rsid w:val="00B60CA2"/>
    <w:rsid w:val="00B63377"/>
    <w:rsid w:val="00B6364F"/>
    <w:rsid w:val="00B6415D"/>
    <w:rsid w:val="00B719E0"/>
    <w:rsid w:val="00B71C40"/>
    <w:rsid w:val="00B8768B"/>
    <w:rsid w:val="00B91440"/>
    <w:rsid w:val="00B92602"/>
    <w:rsid w:val="00B92E2A"/>
    <w:rsid w:val="00B95430"/>
    <w:rsid w:val="00BA05D6"/>
    <w:rsid w:val="00BA12AC"/>
    <w:rsid w:val="00BA306E"/>
    <w:rsid w:val="00BA5016"/>
    <w:rsid w:val="00BA5DE0"/>
    <w:rsid w:val="00BA6657"/>
    <w:rsid w:val="00BB3421"/>
    <w:rsid w:val="00BB69FF"/>
    <w:rsid w:val="00BB788A"/>
    <w:rsid w:val="00BB7C0E"/>
    <w:rsid w:val="00BC5F95"/>
    <w:rsid w:val="00BC65E9"/>
    <w:rsid w:val="00BD0879"/>
    <w:rsid w:val="00BD7AC8"/>
    <w:rsid w:val="00BE3B7D"/>
    <w:rsid w:val="00BE42B6"/>
    <w:rsid w:val="00BF3AEE"/>
    <w:rsid w:val="00BF410C"/>
    <w:rsid w:val="00C00241"/>
    <w:rsid w:val="00C04747"/>
    <w:rsid w:val="00C07955"/>
    <w:rsid w:val="00C1231F"/>
    <w:rsid w:val="00C15FCA"/>
    <w:rsid w:val="00C228AB"/>
    <w:rsid w:val="00C3011E"/>
    <w:rsid w:val="00C311DA"/>
    <w:rsid w:val="00C31C32"/>
    <w:rsid w:val="00C333C1"/>
    <w:rsid w:val="00C33D7B"/>
    <w:rsid w:val="00C35DBD"/>
    <w:rsid w:val="00C55EBD"/>
    <w:rsid w:val="00C70BB1"/>
    <w:rsid w:val="00C7207C"/>
    <w:rsid w:val="00C726DD"/>
    <w:rsid w:val="00C75339"/>
    <w:rsid w:val="00C83977"/>
    <w:rsid w:val="00C97168"/>
    <w:rsid w:val="00CA2074"/>
    <w:rsid w:val="00CA3D9F"/>
    <w:rsid w:val="00CA4504"/>
    <w:rsid w:val="00CD3C59"/>
    <w:rsid w:val="00CD69EA"/>
    <w:rsid w:val="00CF7BB1"/>
    <w:rsid w:val="00D00388"/>
    <w:rsid w:val="00D12F79"/>
    <w:rsid w:val="00D308D1"/>
    <w:rsid w:val="00D31991"/>
    <w:rsid w:val="00D35675"/>
    <w:rsid w:val="00D4420F"/>
    <w:rsid w:val="00D54DC0"/>
    <w:rsid w:val="00D56331"/>
    <w:rsid w:val="00D574F2"/>
    <w:rsid w:val="00D60B47"/>
    <w:rsid w:val="00D64B88"/>
    <w:rsid w:val="00D67A4B"/>
    <w:rsid w:val="00DA2D06"/>
    <w:rsid w:val="00DC0F9D"/>
    <w:rsid w:val="00DD1B57"/>
    <w:rsid w:val="00DE5352"/>
    <w:rsid w:val="00DF2301"/>
    <w:rsid w:val="00DF3198"/>
    <w:rsid w:val="00E03096"/>
    <w:rsid w:val="00E0453F"/>
    <w:rsid w:val="00E04966"/>
    <w:rsid w:val="00E05F8A"/>
    <w:rsid w:val="00E11D53"/>
    <w:rsid w:val="00E13C0D"/>
    <w:rsid w:val="00E20D5F"/>
    <w:rsid w:val="00E30E63"/>
    <w:rsid w:val="00E34FF0"/>
    <w:rsid w:val="00E40FA3"/>
    <w:rsid w:val="00E412E7"/>
    <w:rsid w:val="00E41CDD"/>
    <w:rsid w:val="00E42006"/>
    <w:rsid w:val="00E51B9B"/>
    <w:rsid w:val="00E601CF"/>
    <w:rsid w:val="00E646EC"/>
    <w:rsid w:val="00E7696B"/>
    <w:rsid w:val="00E81B59"/>
    <w:rsid w:val="00E83D77"/>
    <w:rsid w:val="00E863FB"/>
    <w:rsid w:val="00E94CEE"/>
    <w:rsid w:val="00EA31A6"/>
    <w:rsid w:val="00EA64F5"/>
    <w:rsid w:val="00EB43D0"/>
    <w:rsid w:val="00EC4C07"/>
    <w:rsid w:val="00EC7E3D"/>
    <w:rsid w:val="00ED4144"/>
    <w:rsid w:val="00ED560F"/>
    <w:rsid w:val="00ED653B"/>
    <w:rsid w:val="00F03917"/>
    <w:rsid w:val="00F15BD3"/>
    <w:rsid w:val="00F27CDF"/>
    <w:rsid w:val="00F302AE"/>
    <w:rsid w:val="00F33471"/>
    <w:rsid w:val="00F349B8"/>
    <w:rsid w:val="00F401E3"/>
    <w:rsid w:val="00F472E4"/>
    <w:rsid w:val="00F50310"/>
    <w:rsid w:val="00F50452"/>
    <w:rsid w:val="00F866F3"/>
    <w:rsid w:val="00F87285"/>
    <w:rsid w:val="00F930DD"/>
    <w:rsid w:val="00FA68F0"/>
    <w:rsid w:val="00FB1D48"/>
    <w:rsid w:val="00FB592D"/>
    <w:rsid w:val="00FE4748"/>
    <w:rsid w:val="00FE600A"/>
    <w:rsid w:val="00FE6E99"/>
    <w:rsid w:val="00FF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C711D00"/>
  <w15:docId w15:val="{4159128B-3798-4429-8AC8-697EBF89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7635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35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35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35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35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7635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35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35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35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35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35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35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357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35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7635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357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357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357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5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56A"/>
    <w:rPr>
      <w:rFonts w:ascii="Segoe UI" w:eastAsia="Times New Roman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033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39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033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9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F945-90B9-4C3C-BD8B-325112E7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crgp01 Carlos Garcia Pacheco tfno:9252 48862</dc:creator>
  <cp:lastModifiedBy>Carolina Rodriguez Holgado</cp:lastModifiedBy>
  <cp:revision>2</cp:revision>
  <cp:lastPrinted>2024-09-25T11:34:00Z</cp:lastPrinted>
  <dcterms:created xsi:type="dcterms:W3CDTF">2025-03-17T17:13:00Z</dcterms:created>
  <dcterms:modified xsi:type="dcterms:W3CDTF">2025-03-17T17:13:00Z</dcterms:modified>
</cp:coreProperties>
</file>