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C4510B" w:rsidRPr="007B7BB6" w14:paraId="158FB820" w14:textId="77777777" w:rsidTr="002C6973">
        <w:tc>
          <w:tcPr>
            <w:tcW w:w="8642" w:type="dxa"/>
            <w:tcBorders>
              <w:bottom w:val="single" w:sz="4" w:space="0" w:color="auto"/>
            </w:tcBorders>
          </w:tcPr>
          <w:p w14:paraId="2A2C2F84" w14:textId="77777777" w:rsidR="00C4510B" w:rsidRPr="007B7BB6" w:rsidRDefault="00C4510B" w:rsidP="002C69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>Anexo</w:t>
            </w:r>
            <w:permStart w:id="1866472125" w:edGrp="everyone"/>
            <w:permEnd w:id="1866472125"/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  <w:p w14:paraId="7C279518" w14:textId="77777777" w:rsidR="00C4510B" w:rsidRPr="007B7BB6" w:rsidRDefault="00C4510B" w:rsidP="00C451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>Estándares de Calidad</w:t>
            </w:r>
          </w:p>
        </w:tc>
      </w:tr>
    </w:tbl>
    <w:p w14:paraId="45976796" w14:textId="77777777" w:rsidR="00C4510B" w:rsidRPr="007B7BB6" w:rsidRDefault="00C4510B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C6DB5AA" w14:textId="77777777" w:rsidR="009D5D97" w:rsidRPr="007B7BB6" w:rsidRDefault="009D5D97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7DF223B" w14:textId="77777777" w:rsidR="0053445B" w:rsidRPr="007B7BB6" w:rsidRDefault="0053445B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I. Principios básicos.</w:t>
      </w:r>
    </w:p>
    <w:p w14:paraId="46312BB7" w14:textId="77777777" w:rsidR="00C63E62" w:rsidRPr="007B7BB6" w:rsidRDefault="00C63E62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766F61A" w14:textId="77777777" w:rsidR="0053445B" w:rsidRPr="007B7BB6" w:rsidRDefault="0053445B" w:rsidP="00C4510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Inclusión y diversidad: las organizaciones beneficiarias deben respetar los principios de</w:t>
      </w:r>
    </w:p>
    <w:p w14:paraId="73FC2F7D" w14:textId="77777777" w:rsidR="00C4510B" w:rsidRPr="007B7BB6" w:rsidRDefault="0053445B" w:rsidP="00C4510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inclusión y diversidad en todos los aspectos de sus actividades. Deben garantizar unas</w:t>
      </w:r>
      <w:r w:rsidR="00C4510B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condiciones justas y equitativas para todos los participantes.</w:t>
      </w:r>
    </w:p>
    <w:p w14:paraId="2CB6CBC4" w14:textId="77777777" w:rsidR="00483C3F" w:rsidRPr="007B7BB6" w:rsidRDefault="0053445B" w:rsidP="00483C3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Siempre que sea posible, las organizaciones beneficiarias deben hacer participar</w:t>
      </w:r>
      <w:r w:rsidR="00C4510B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activamente e involucrar en sus actividades a participantes con menos oportunidades. Las</w:t>
      </w:r>
      <w:r w:rsidR="00C4510B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organizaciones beneficiarias deben aprovechar al máximo las herramientas y la financiación</w:t>
      </w:r>
      <w:r w:rsidR="00C4510B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previstas al efecto por el programa.</w:t>
      </w:r>
    </w:p>
    <w:p w14:paraId="7BB3F3B1" w14:textId="77777777" w:rsidR="00483C3F" w:rsidRPr="007B7BB6" w:rsidRDefault="00483C3F" w:rsidP="00483C3F">
      <w:pPr>
        <w:pStyle w:val="Prrafodelista"/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0"/>
          <w:szCs w:val="20"/>
        </w:rPr>
      </w:pPr>
    </w:p>
    <w:p w14:paraId="4198D72B" w14:textId="77777777" w:rsidR="0053445B" w:rsidRPr="007B7BB6" w:rsidRDefault="0053445B" w:rsidP="00483C3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Sostenibilidad y responsabilidad medioambientales: las organizaciones beneficiarias deben</w:t>
      </w:r>
      <w:r w:rsidR="00C4510B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promover entre sus participantes un comportamiento responsable y sostenible desde el</w:t>
      </w:r>
      <w:r w:rsidR="00C4510B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punto de vista medioambiental. Deben aprovechar al máximo la financiación proporcionada</w:t>
      </w:r>
      <w:r w:rsidR="00C4510B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por el programa para apoyar los medios de viaje sostenibles.</w:t>
      </w:r>
    </w:p>
    <w:p w14:paraId="1F836EDB" w14:textId="77777777" w:rsidR="00483C3F" w:rsidRPr="007B7BB6" w:rsidRDefault="00483C3F" w:rsidP="00483C3F">
      <w:pPr>
        <w:pStyle w:val="Prrafodelista"/>
        <w:rPr>
          <w:rFonts w:ascii="Arial" w:hAnsi="Arial" w:cs="Arial"/>
          <w:sz w:val="20"/>
          <w:szCs w:val="20"/>
        </w:rPr>
      </w:pPr>
    </w:p>
    <w:p w14:paraId="1040800F" w14:textId="77777777" w:rsidR="0053445B" w:rsidRPr="007B7BB6" w:rsidRDefault="0053445B" w:rsidP="006615E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Educación digital, incluyendo cooperación virtual, movilidad virtual y movilidad</w:t>
      </w:r>
      <w:r w:rsidR="00C4510B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combinada: las organizaciones beneficiarias deben utilizar herramientas digitales y métodos</w:t>
      </w:r>
      <w:r w:rsidR="00C4510B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de aprendizaje para complementar sus actividades de movilidad física y mejorar la</w:t>
      </w:r>
      <w:r w:rsidR="00C4510B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cooperación con las organizaciones asociadas. Para ello deben aprovechar al máximo las</w:t>
      </w:r>
      <w:r w:rsidR="00C4510B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herramientas digitales, las plataformas en línea y otras oportunidades que ofrece el</w:t>
      </w:r>
      <w:r w:rsidR="00C4510B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programa para este fin.</w:t>
      </w:r>
    </w:p>
    <w:p w14:paraId="157D7148" w14:textId="77777777" w:rsidR="00483C3F" w:rsidRPr="007B7BB6" w:rsidRDefault="00483C3F" w:rsidP="00483C3F">
      <w:pPr>
        <w:pStyle w:val="Prrafodelista"/>
        <w:rPr>
          <w:rFonts w:ascii="Arial" w:hAnsi="Arial" w:cs="Arial"/>
          <w:sz w:val="20"/>
          <w:szCs w:val="20"/>
        </w:rPr>
      </w:pPr>
    </w:p>
    <w:p w14:paraId="086F829E" w14:textId="77777777" w:rsidR="0053445B" w:rsidRPr="007B7BB6" w:rsidRDefault="0053445B" w:rsidP="00483C3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B7BB6">
        <w:rPr>
          <w:rFonts w:ascii="Arial" w:hAnsi="Arial" w:cs="Arial"/>
          <w:sz w:val="20"/>
          <w:szCs w:val="20"/>
        </w:rPr>
        <w:t>Participación activa</w:t>
      </w:r>
      <w:proofErr w:type="gramEnd"/>
      <w:r w:rsidRPr="007B7BB6">
        <w:rPr>
          <w:rFonts w:ascii="Arial" w:hAnsi="Arial" w:cs="Arial"/>
          <w:sz w:val="20"/>
          <w:szCs w:val="20"/>
        </w:rPr>
        <w:t xml:space="preserve"> en la red de organizaciones Erasmus: uno de los principales objetivos</w:t>
      </w:r>
      <w:r w:rsidR="00C4510B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del Programa es apoyar el desarrollo del Espacio Europeo de Educación. Las</w:t>
      </w:r>
    </w:p>
    <w:p w14:paraId="38F2A85D" w14:textId="77777777" w:rsidR="0053445B" w:rsidRPr="007B7BB6" w:rsidRDefault="0053445B" w:rsidP="00483C3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organizaciones beneficiarias deben tratar de convertirse en miembros activos de la red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Erasmus, por ejemplo, acogiendo participantes de otros países, o participando en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intercambios de buenas prácticas y otras actividades de contacto organizadas por las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agencias nacionales u otras organizaciones. Las organizaciones con experiencia deben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compartir sus conocimientos con otras organizaciones que tienen menos experiencia en el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Programa proporcionando asesoramiento, tutoría u otro tipo de apoyo. Cuando sea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relevante, las organizaciones beneficiarias deberían alentar a sus participantes a participar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en actividades y redes de antiguos alumnos.</w:t>
      </w:r>
    </w:p>
    <w:p w14:paraId="5031BDC4" w14:textId="77777777" w:rsidR="00483C3F" w:rsidRPr="007B7BB6" w:rsidRDefault="00483C3F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14:paraId="1F49FB12" w14:textId="77777777" w:rsidR="0053445B" w:rsidRPr="007B7BB6" w:rsidRDefault="0053445B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II. Buena gestión de las actividades de movilidad</w:t>
      </w:r>
      <w:r w:rsidR="00C63E62" w:rsidRPr="007B7BB6">
        <w:rPr>
          <w:rFonts w:ascii="Arial" w:hAnsi="Arial" w:cs="Arial"/>
          <w:sz w:val="20"/>
          <w:szCs w:val="20"/>
        </w:rPr>
        <w:t>.</w:t>
      </w:r>
    </w:p>
    <w:p w14:paraId="7431A678" w14:textId="77777777" w:rsidR="00C63E62" w:rsidRPr="007B7BB6" w:rsidRDefault="00C63E62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CC4DFE" w14:textId="77777777" w:rsidR="0053445B" w:rsidRPr="007B7BB6" w:rsidRDefault="0053445B" w:rsidP="00483C3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Mantenimiento de la titularidad de las tareas fundamentales: las organizaciones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beneficiarias deben mantener la titularidad de las tareas fundamentales de ejecución y no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pueden externalizarlas a otras organizaciones.</w:t>
      </w:r>
    </w:p>
    <w:p w14:paraId="4BD8E19D" w14:textId="77777777" w:rsidR="00483C3F" w:rsidRPr="007B7BB6" w:rsidRDefault="00483C3F" w:rsidP="00483C3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5423CB" w14:textId="77777777" w:rsidR="0053445B" w:rsidRPr="007B7BB6" w:rsidRDefault="0053445B" w:rsidP="00483C3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Las tareas fundamentales incluyen la gestión financiera de los fondos del programa, el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contacto con la Agencia Nacional, la presentación de informes sobre las actividades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realizadas, así como todas las decisiones que afecten directamente al contenido, la calidad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y los resultados de las actividades ejecutadas (como la elección del tipo de actividad, la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duración y la organización de acogida, la definición y la evaluación de los resultados del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aprendizaje, etc.).</w:t>
      </w:r>
    </w:p>
    <w:p w14:paraId="68EE01D4" w14:textId="77777777" w:rsidR="00483C3F" w:rsidRPr="007B7BB6" w:rsidRDefault="00483C3F" w:rsidP="0053445B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color w:val="333333"/>
          <w:sz w:val="20"/>
          <w:szCs w:val="20"/>
        </w:rPr>
      </w:pPr>
    </w:p>
    <w:p w14:paraId="0DC90F1D" w14:textId="77777777" w:rsidR="0053445B" w:rsidRPr="007B7BB6" w:rsidRDefault="0053445B" w:rsidP="00483C3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Organizaciones de apoyo, transparencia y responsabilidad: en los aspectos prácticos de la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ejecución del proyecto, las organizaciones beneficiarias podrán recibir asesoramiento,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asistencia o servicios de otras organizaciones, siempre que las organizaciones beneficiarias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lastRenderedPageBreak/>
        <w:t>mantengan el control sobre el contenido, la calidad y los resultados de las actividades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llevadas a cabo, tal y como se describe en el punto relativo a las tareas fundamentales.</w:t>
      </w:r>
    </w:p>
    <w:p w14:paraId="755590FE" w14:textId="77777777" w:rsidR="00483C3F" w:rsidRPr="007B7BB6" w:rsidRDefault="00483C3F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14:paraId="6EA848B9" w14:textId="77777777" w:rsidR="0053445B" w:rsidRPr="007B7BB6" w:rsidRDefault="0053445B" w:rsidP="00483C3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Si las organizaciones beneficiarias utilizan fondos del programa para pagar a otras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organizaciones con el fin de llevar a cabo tareas de gestión y ejecución específicas, las</w:t>
      </w:r>
    </w:p>
    <w:p w14:paraId="48FAC323" w14:textId="77777777" w:rsidR="0053445B" w:rsidRPr="007B7BB6" w:rsidRDefault="0053445B" w:rsidP="00483C3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obligaciones de estas organizaciones deben definirse formalmente para garantizar el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cumplimiento de los estándares de calidad Erasmus y la protección de los fondos de la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Unión. Los siguientes elementos deben incluirse en el acuerdo formal entre el beneficiario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y el prestador del servicio: las tareas que deben llevarse a cabo, los mecanismos de control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de la calidad, las consecuencias en caso de ausencia de resultados o resultados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insatisfactorios y mecanismos de flexibilidad en caso de cancelación o reprogramación de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los servicios acordados que garanticen una distribución justa y equilibrada de los riesgos en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caso de acontecimientos imprevistos. La documentación que defina estas obligaciones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debe estar a disposición de la Agencia Nacional para su revisión.</w:t>
      </w:r>
    </w:p>
    <w:p w14:paraId="571CFF23" w14:textId="77777777" w:rsidR="00483C3F" w:rsidRPr="007B7BB6" w:rsidRDefault="00483C3F" w:rsidP="00483C3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333333"/>
          <w:sz w:val="20"/>
          <w:szCs w:val="20"/>
        </w:rPr>
      </w:pPr>
    </w:p>
    <w:p w14:paraId="0E74D15D" w14:textId="77777777" w:rsidR="0053445B" w:rsidRPr="007B7BB6" w:rsidRDefault="0053445B" w:rsidP="00483C3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Las organizaciones que apoyen al beneficiario, de manera remunerada o voluntaria,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mediante tareas de gestión y ejecución específicas, serán consideradas organizaciones de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apoyo y deberán estar registradas en las herramientas oficiales de elaboración de informes.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La participación de las organizaciones de apoyo debe aportar beneficios claros al desarrollo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organizativo de la organización beneficiaria y a la calidad de las actividades de movilidad.</w:t>
      </w:r>
    </w:p>
    <w:p w14:paraId="329082A0" w14:textId="77777777" w:rsidR="00483C3F" w:rsidRPr="007B7BB6" w:rsidRDefault="00483C3F" w:rsidP="00483C3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CF0038C" w14:textId="77777777" w:rsidR="0053445B" w:rsidRPr="007B7BB6" w:rsidRDefault="0053445B" w:rsidP="00483C3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En todos los casos, la organización beneficiaria seguirá siendo responsable de los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resultados y la calidad de las actividades realizadas, independientemente de la participación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de otras organizaciones.</w:t>
      </w:r>
    </w:p>
    <w:p w14:paraId="4EC50061" w14:textId="77777777" w:rsidR="00483C3F" w:rsidRPr="007B7BB6" w:rsidRDefault="00483C3F" w:rsidP="0053445B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color w:val="333333"/>
          <w:sz w:val="20"/>
          <w:szCs w:val="20"/>
        </w:rPr>
      </w:pPr>
    </w:p>
    <w:p w14:paraId="76AC6014" w14:textId="77777777" w:rsidR="0053445B" w:rsidRPr="007B7BB6" w:rsidRDefault="0053445B" w:rsidP="00483C3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Aportaciones abonadas por los participantes: como forma de cofinanciación, la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organización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beneficiaria podrá pedir aportaciones a los participantes de las actividades de movilidad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para pagar los bienes y servicios necesarios para la realización de dichas actividades. Las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contribuciones de los participantes deben ser proporcionales a la subvención concedida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para la realización de la actividad, justificarse claramente, cobrarse sin ánimo de lucro y no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poner obstáculos injustos a la participación (especialmente en lo que se refiere a los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participantes con menos oportunidades). Las organizaciones de apoyo u otros proveedores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de servicios seleccionados por la organización beneficiaria no pueden cobrar tasas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adicionales u otras aportaciones a los participantes.</w:t>
      </w:r>
    </w:p>
    <w:p w14:paraId="4DEECD1C" w14:textId="77777777" w:rsidR="00483C3F" w:rsidRPr="007B7BB6" w:rsidRDefault="0053445B" w:rsidP="0053445B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color w:val="333333"/>
          <w:sz w:val="20"/>
          <w:szCs w:val="20"/>
        </w:rPr>
      </w:pPr>
      <w:r w:rsidRPr="007B7BB6">
        <w:rPr>
          <w:rFonts w:ascii="Arial" w:eastAsia="SymbolMT" w:hAnsi="Arial" w:cs="Arial"/>
          <w:color w:val="333333"/>
          <w:sz w:val="20"/>
          <w:szCs w:val="20"/>
        </w:rPr>
        <w:t xml:space="preserve"> </w:t>
      </w:r>
    </w:p>
    <w:p w14:paraId="5D3F9019" w14:textId="77777777" w:rsidR="0053445B" w:rsidRPr="007B7BB6" w:rsidRDefault="0053445B" w:rsidP="00483C3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Integración de los resultados de las actividades de movilidad en la organización: las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organizaciones beneficiarias deben integrar los resultados de las actividades de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movilidad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implementadas (por ejemplo, los conocimientos adquiridos por el personal en el desarrollo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profesional) en su trabajo habitual, a fin de beneficiar a la organización en su conjunto, a su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personal y a sus alumnos.</w:t>
      </w:r>
    </w:p>
    <w:p w14:paraId="6A88029F" w14:textId="77777777" w:rsidR="00483C3F" w:rsidRPr="007B7BB6" w:rsidRDefault="0053445B" w:rsidP="00483C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ymbolMT" w:hAnsi="Arial" w:cs="Arial"/>
          <w:sz w:val="20"/>
          <w:szCs w:val="20"/>
        </w:rPr>
      </w:pPr>
      <w:r w:rsidRPr="007B7BB6">
        <w:rPr>
          <w:rFonts w:ascii="Arial" w:eastAsia="SymbolMT" w:hAnsi="Arial" w:cs="Arial"/>
          <w:sz w:val="20"/>
          <w:szCs w:val="20"/>
        </w:rPr>
        <w:t xml:space="preserve"> </w:t>
      </w:r>
    </w:p>
    <w:p w14:paraId="7ED96B0B" w14:textId="77777777" w:rsidR="0053445B" w:rsidRPr="007B7BB6" w:rsidRDefault="0053445B" w:rsidP="00483C3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Desarrollo de capacidades: las organizaciones beneficiarias deben utilizar los fondos del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programa (y, en particular, el apoyo organizativo) de manera que aumente gradualmente su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capacidad para trabajar a escala internacional sobre una base sostenible a largo plazo. De</w:t>
      </w:r>
      <w:r w:rsidR="00483C3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esta forma, podrán beneficiarse todas las organizaciones de un consorcio de movilidad.</w:t>
      </w:r>
    </w:p>
    <w:p w14:paraId="75EC8AAA" w14:textId="77777777" w:rsidR="00DF592F" w:rsidRPr="007B7BB6" w:rsidRDefault="0053445B" w:rsidP="0053445B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color w:val="333333"/>
          <w:sz w:val="20"/>
          <w:szCs w:val="20"/>
        </w:rPr>
      </w:pPr>
      <w:r w:rsidRPr="007B7BB6">
        <w:rPr>
          <w:rFonts w:ascii="Arial" w:eastAsia="SymbolMT" w:hAnsi="Arial" w:cs="Arial"/>
          <w:color w:val="333333"/>
          <w:sz w:val="20"/>
          <w:szCs w:val="20"/>
        </w:rPr>
        <w:t xml:space="preserve"> </w:t>
      </w:r>
    </w:p>
    <w:p w14:paraId="0E909DC3" w14:textId="77777777" w:rsidR="0053445B" w:rsidRPr="007B7BB6" w:rsidRDefault="0053445B" w:rsidP="00DF592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Actualizaciones periódicas: las organizaciones beneficiarias deben codificar</w:t>
      </w:r>
      <w:r w:rsidR="00DF592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periódicamente la información sobre las actividades de movilidad previstas y terminadas en</w:t>
      </w:r>
      <w:r w:rsidR="00DF592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los instrumentos proporcionados a tal efecto por la Comisión Europea</w:t>
      </w:r>
    </w:p>
    <w:p w14:paraId="5D00FB02" w14:textId="77777777" w:rsidR="00DF592F" w:rsidRPr="007B7BB6" w:rsidRDefault="0053445B" w:rsidP="0053445B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color w:val="333333"/>
          <w:sz w:val="20"/>
          <w:szCs w:val="20"/>
        </w:rPr>
      </w:pPr>
      <w:r w:rsidRPr="007B7BB6">
        <w:rPr>
          <w:rFonts w:ascii="Arial" w:eastAsia="SymbolMT" w:hAnsi="Arial" w:cs="Arial"/>
          <w:color w:val="333333"/>
          <w:sz w:val="20"/>
          <w:szCs w:val="20"/>
        </w:rPr>
        <w:t xml:space="preserve"> </w:t>
      </w:r>
    </w:p>
    <w:p w14:paraId="09AA6C46" w14:textId="77777777" w:rsidR="0053445B" w:rsidRPr="007B7BB6" w:rsidRDefault="0053445B" w:rsidP="00DF592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Recopilación y uso de los comentarios de los participantes: las organizaciones beneficiarias</w:t>
      </w:r>
      <w:r w:rsidR="00DF592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deben asegurarse de que los participantes completan el informe tipo sobre sus actividades,</w:t>
      </w:r>
      <w:r w:rsidR="00DF592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facilitado por la Comisión Europea. Las organizaciones beneficiarias deben utilizar las</w:t>
      </w:r>
      <w:r w:rsidR="00DF592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opiniones facilitadas por los participantes para mejorar sus actividades futuras.</w:t>
      </w:r>
    </w:p>
    <w:p w14:paraId="6A086629" w14:textId="77777777" w:rsidR="00DF592F" w:rsidRPr="007B7BB6" w:rsidRDefault="0053445B" w:rsidP="0053445B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color w:val="333333"/>
          <w:sz w:val="20"/>
          <w:szCs w:val="20"/>
        </w:rPr>
      </w:pPr>
      <w:r w:rsidRPr="007B7BB6">
        <w:rPr>
          <w:rFonts w:ascii="Arial" w:eastAsia="SymbolMT" w:hAnsi="Arial" w:cs="Arial"/>
          <w:color w:val="333333"/>
          <w:sz w:val="20"/>
          <w:szCs w:val="20"/>
        </w:rPr>
        <w:t xml:space="preserve"> </w:t>
      </w:r>
    </w:p>
    <w:p w14:paraId="5F441D97" w14:textId="77777777" w:rsidR="0053445B" w:rsidRPr="007B7BB6" w:rsidRDefault="0053445B" w:rsidP="00DF592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lastRenderedPageBreak/>
        <w:t>Asignación de tareas: La asignación de tareas entre el coordinador y las organizaciones</w:t>
      </w:r>
      <w:r w:rsidR="00DF592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miembro debe acordarse de antemano. Las tareas (incluidas las tareas básicas) deben</w:t>
      </w:r>
      <w:r w:rsidR="00DF592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dividirse de la manera que mejor permita a las organizaciones participantes perseguir sus</w:t>
      </w:r>
      <w:r w:rsidR="00DF592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objetivos y desarrollar nuevas capacidades.</w:t>
      </w:r>
    </w:p>
    <w:p w14:paraId="53301CDF" w14:textId="77777777" w:rsidR="00DF592F" w:rsidRPr="007B7BB6" w:rsidRDefault="0053445B" w:rsidP="00DF5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ymbolMT" w:hAnsi="Arial" w:cs="Arial"/>
          <w:sz w:val="20"/>
          <w:szCs w:val="20"/>
        </w:rPr>
      </w:pPr>
      <w:r w:rsidRPr="007B7BB6">
        <w:rPr>
          <w:rFonts w:ascii="Arial" w:eastAsia="SymbolMT" w:hAnsi="Arial" w:cs="Arial"/>
          <w:sz w:val="20"/>
          <w:szCs w:val="20"/>
        </w:rPr>
        <w:t xml:space="preserve"> </w:t>
      </w:r>
    </w:p>
    <w:p w14:paraId="77D069E1" w14:textId="77777777" w:rsidR="0053445B" w:rsidRPr="007B7BB6" w:rsidRDefault="0053445B" w:rsidP="00DF592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Asignación de fondos: la financiación concedida para las actividades del consorcio debe</w:t>
      </w:r>
      <w:r w:rsidR="00DF592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dividirse entre el coordinador del consorcio y las organizaciones miembros de manera justa</w:t>
      </w:r>
      <w:r w:rsidR="00DF592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y transparente, en proporción a las tareas y necesidades de las organizaciones</w:t>
      </w:r>
      <w:r w:rsidR="00DF592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participantes.</w:t>
      </w:r>
    </w:p>
    <w:p w14:paraId="117AD8E6" w14:textId="77777777" w:rsidR="00DF592F" w:rsidRPr="007B7BB6" w:rsidRDefault="0053445B" w:rsidP="0053445B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color w:val="333333"/>
          <w:sz w:val="20"/>
          <w:szCs w:val="20"/>
        </w:rPr>
      </w:pPr>
      <w:r w:rsidRPr="007B7BB6">
        <w:rPr>
          <w:rFonts w:ascii="Arial" w:eastAsia="SymbolMT" w:hAnsi="Arial" w:cs="Arial"/>
          <w:color w:val="333333"/>
          <w:sz w:val="20"/>
          <w:szCs w:val="20"/>
        </w:rPr>
        <w:t xml:space="preserve"> </w:t>
      </w:r>
    </w:p>
    <w:p w14:paraId="30DFA248" w14:textId="77777777" w:rsidR="0053445B" w:rsidRPr="007B7BB6" w:rsidRDefault="0053445B" w:rsidP="00DF592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Toma de decisiones conjunta: las organizaciones miembros del consorcio deben participar</w:t>
      </w:r>
      <w:r w:rsidR="00DF592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en las decisiones que afecten a sus actividades y a sus participantes.</w:t>
      </w:r>
    </w:p>
    <w:p w14:paraId="0E617CE0" w14:textId="77777777" w:rsidR="00DF592F" w:rsidRPr="007B7BB6" w:rsidRDefault="0053445B" w:rsidP="00DF5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ymbolMT" w:hAnsi="Arial" w:cs="Arial"/>
          <w:sz w:val="20"/>
          <w:szCs w:val="20"/>
        </w:rPr>
      </w:pPr>
      <w:r w:rsidRPr="007B7BB6">
        <w:rPr>
          <w:rFonts w:ascii="Arial" w:eastAsia="SymbolMT" w:hAnsi="Arial" w:cs="Arial"/>
          <w:sz w:val="20"/>
          <w:szCs w:val="20"/>
        </w:rPr>
        <w:t xml:space="preserve"> </w:t>
      </w:r>
    </w:p>
    <w:p w14:paraId="4D00533F" w14:textId="77777777" w:rsidR="0053445B" w:rsidRPr="007B7BB6" w:rsidRDefault="0053445B" w:rsidP="00DF592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Elección y colaboración con organizaciones de acogida: las organizaciones miembros del</w:t>
      </w:r>
      <w:r w:rsidR="00DF592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consorcio deben participar en la elección de las organizaciones de acogida y deben tener</w:t>
      </w:r>
      <w:r w:rsidR="00DF592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la posibilidad de contactarlas directamente.</w:t>
      </w:r>
    </w:p>
    <w:p w14:paraId="208688BB" w14:textId="77777777" w:rsidR="00DF592F" w:rsidRPr="007B7BB6" w:rsidRDefault="0053445B" w:rsidP="00DF5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ymbolMT" w:hAnsi="Arial" w:cs="Arial"/>
          <w:sz w:val="20"/>
          <w:szCs w:val="20"/>
        </w:rPr>
      </w:pPr>
      <w:r w:rsidRPr="007B7BB6">
        <w:rPr>
          <w:rFonts w:ascii="Arial" w:eastAsia="SymbolMT" w:hAnsi="Arial" w:cs="Arial"/>
          <w:sz w:val="20"/>
          <w:szCs w:val="20"/>
        </w:rPr>
        <w:t xml:space="preserve"> </w:t>
      </w:r>
    </w:p>
    <w:p w14:paraId="6438368A" w14:textId="77777777" w:rsidR="0053445B" w:rsidRPr="007B7BB6" w:rsidRDefault="0053445B" w:rsidP="00DF592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Intercambio de conocimientos y recursos: si el coordinador ha formado el consorcio para</w:t>
      </w:r>
      <w:r w:rsidR="00DF592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promover y coordinar las actividades del programa en su ámbito de responsabilidad, debe</w:t>
      </w:r>
      <w:r w:rsidR="00DF592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desempeñar un papel activo en el desarrollo de la capacidad de las organizaciones</w:t>
      </w:r>
      <w:r w:rsidR="00DF592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miembros del consorcio, por ejemplo, impartiendo formación a su personal, poniéndolos en</w:t>
      </w:r>
      <w:r w:rsidR="00DF592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contacto con nuevos socios de acogida o demostrando buenas prácticas.</w:t>
      </w:r>
    </w:p>
    <w:p w14:paraId="5B912658" w14:textId="77777777" w:rsidR="00DF592F" w:rsidRPr="007B7BB6" w:rsidRDefault="00DF592F" w:rsidP="00DF5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78F27B" w14:textId="77777777" w:rsidR="0053445B" w:rsidRPr="007B7BB6" w:rsidRDefault="0053445B" w:rsidP="00DF592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En este tipo de consorcio, el coordinador debe apoyar activamente a las organizaciones</w:t>
      </w:r>
      <w:r w:rsidR="00DF592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miembros en el cumplimiento de los estándares de calidad Erasmus y garantizar que los</w:t>
      </w:r>
      <w:r w:rsidR="00DF592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miembros del consorcio participen adecuadamente en las tareas que afecten directamente</w:t>
      </w:r>
      <w:r w:rsidR="00DF592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a sus participantes (por ejemplo, la selección, el seguimiento o la definición de los resultados</w:t>
      </w:r>
      <w:r w:rsidR="00DF592F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del aprendizaje).</w:t>
      </w:r>
    </w:p>
    <w:p w14:paraId="3CFB43D5" w14:textId="77777777" w:rsidR="00DF592F" w:rsidRPr="007B7BB6" w:rsidRDefault="00DF592F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14:paraId="0E66127B" w14:textId="77777777" w:rsidR="0053445B" w:rsidRPr="007B7BB6" w:rsidRDefault="0053445B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III. Calidad y apoyo a los participantes</w:t>
      </w:r>
      <w:r w:rsidR="00C63E62" w:rsidRPr="007B7BB6">
        <w:rPr>
          <w:rFonts w:ascii="Arial" w:hAnsi="Arial" w:cs="Arial"/>
          <w:sz w:val="20"/>
          <w:szCs w:val="20"/>
        </w:rPr>
        <w:t>.</w:t>
      </w:r>
    </w:p>
    <w:p w14:paraId="7CDFB2D3" w14:textId="77777777" w:rsidR="00C63E62" w:rsidRPr="007B7BB6" w:rsidRDefault="00C63E62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CDC470F" w14:textId="77777777" w:rsidR="0053445B" w:rsidRPr="007B7BB6" w:rsidRDefault="0053445B" w:rsidP="00C63E6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Disposiciones prácticas: las organizaciones beneficiarias deben garantizar la calidad de las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medidas prácticas y logísticas (viaje, alojamiento, solicitudes de visado, seguridad social,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etc.). Si estas tareas se delegan en el participante o en un proveedor de servicios, la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organización beneficiaria seguirá siendo responsable en última instancia de verificar su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suministro y calidad.</w:t>
      </w:r>
    </w:p>
    <w:p w14:paraId="199ECE69" w14:textId="77777777" w:rsidR="00C63E62" w:rsidRPr="007B7BB6" w:rsidRDefault="0053445B" w:rsidP="00C63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ymbolMT" w:hAnsi="Arial" w:cs="Arial"/>
          <w:sz w:val="20"/>
          <w:szCs w:val="20"/>
        </w:rPr>
      </w:pPr>
      <w:r w:rsidRPr="007B7BB6">
        <w:rPr>
          <w:rFonts w:ascii="Arial" w:eastAsia="SymbolMT" w:hAnsi="Arial" w:cs="Arial"/>
          <w:sz w:val="20"/>
          <w:szCs w:val="20"/>
        </w:rPr>
        <w:t xml:space="preserve"> </w:t>
      </w:r>
    </w:p>
    <w:p w14:paraId="7C616250" w14:textId="77777777" w:rsidR="0053445B" w:rsidRPr="007B7BB6" w:rsidRDefault="0053445B" w:rsidP="00A63D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Salud, seguridad y respeto de la normativa aplicable: todas las actividades deben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organizarse con un alto nivel de seguridad y protección para los participantes implicados y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deben respetar toda la normativa aplicable (por ejemplo, en relación con el consentimiento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parental, la edad mínima de los participantes, etc.). Las organizaciones beneficiarias deben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asegurarse de que sus participantes disponen de la cobertura de seguro adecuada, tal como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se define en las normas generales del programa y en el Reglamento aplicable.</w:t>
      </w:r>
    </w:p>
    <w:p w14:paraId="3F05A4E7" w14:textId="77777777" w:rsidR="00C63E62" w:rsidRPr="007B7BB6" w:rsidRDefault="0053445B" w:rsidP="00C63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ymbolMT" w:hAnsi="Arial" w:cs="Arial"/>
          <w:sz w:val="20"/>
          <w:szCs w:val="20"/>
        </w:rPr>
      </w:pPr>
      <w:r w:rsidRPr="007B7BB6">
        <w:rPr>
          <w:rFonts w:ascii="Arial" w:eastAsia="SymbolMT" w:hAnsi="Arial" w:cs="Arial"/>
          <w:sz w:val="20"/>
          <w:szCs w:val="20"/>
        </w:rPr>
        <w:t xml:space="preserve"> </w:t>
      </w:r>
    </w:p>
    <w:p w14:paraId="569405E9" w14:textId="77777777" w:rsidR="0053445B" w:rsidRPr="007B7BB6" w:rsidRDefault="0053445B" w:rsidP="00962CB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Selección de los participantes: Los participantes deben ser seleccionados mediante un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procedimiento de selección transparente, justo e inclusivo.</w:t>
      </w:r>
    </w:p>
    <w:p w14:paraId="07B3AD3D" w14:textId="77777777" w:rsidR="00C63E62" w:rsidRPr="007B7BB6" w:rsidRDefault="0053445B" w:rsidP="00C63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ymbolMT" w:hAnsi="Arial" w:cs="Arial"/>
          <w:sz w:val="20"/>
          <w:szCs w:val="20"/>
        </w:rPr>
      </w:pPr>
      <w:r w:rsidRPr="007B7BB6">
        <w:rPr>
          <w:rFonts w:ascii="Arial" w:eastAsia="SymbolMT" w:hAnsi="Arial" w:cs="Arial"/>
          <w:sz w:val="20"/>
          <w:szCs w:val="20"/>
        </w:rPr>
        <w:t xml:space="preserve"> </w:t>
      </w:r>
    </w:p>
    <w:p w14:paraId="1309BEBA" w14:textId="77777777" w:rsidR="0053445B" w:rsidRPr="007B7BB6" w:rsidRDefault="0053445B" w:rsidP="00AE454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Preparación: los participantes deberán recibir una preparación adecuada referida a los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aspectos práctico, profesional y cultural de su estancia en el país de acogida. La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preparación debe organizarse en colaboración con la organización de acogida (y, si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procede, las familias anfitrionas).</w:t>
      </w:r>
    </w:p>
    <w:p w14:paraId="77E69692" w14:textId="77777777" w:rsidR="00C63E62" w:rsidRPr="007B7BB6" w:rsidRDefault="0053445B" w:rsidP="00C63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ymbolMT" w:hAnsi="Arial" w:cs="Arial"/>
          <w:sz w:val="20"/>
          <w:szCs w:val="20"/>
        </w:rPr>
      </w:pPr>
      <w:r w:rsidRPr="007B7BB6">
        <w:rPr>
          <w:rFonts w:ascii="Arial" w:eastAsia="SymbolMT" w:hAnsi="Arial" w:cs="Arial"/>
          <w:sz w:val="20"/>
          <w:szCs w:val="20"/>
        </w:rPr>
        <w:t xml:space="preserve"> </w:t>
      </w:r>
    </w:p>
    <w:p w14:paraId="642B574C" w14:textId="77777777" w:rsidR="0053445B" w:rsidRPr="007B7BB6" w:rsidRDefault="0053445B" w:rsidP="00D00CB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Supervisión y tutorización: cuando proceda, sobre la base de las características de la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actividad, las organizaciones de envío y de acogida deberán seleccionar a un tutor o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persona a cargo similar que hará un seguimiento del participante durante su estancia en la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lastRenderedPageBreak/>
        <w:t>organización de acogida y le ayudará a alcanzar los resultados del aprendizaje deseados.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Debe prestarse especial atención a la presentación y la integración de los participantes en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la organización de acogida, así como a la supervisión del proceso de aprendizaje.</w:t>
      </w:r>
    </w:p>
    <w:p w14:paraId="6DC0ECFA" w14:textId="77777777" w:rsidR="00C63E62" w:rsidRPr="007B7BB6" w:rsidRDefault="00C63E62" w:rsidP="00C63E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502204" w14:textId="77777777" w:rsidR="0053445B" w:rsidRPr="007B7BB6" w:rsidRDefault="0053445B" w:rsidP="007C3C0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Apoyo durante el desarrollo de la actividad: los participantes deberán poder solicitar y recibir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apoyo de sus organizaciones de acogida y envío en cualquier momento durante su actividad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de movilidad. Las personas de contacto en ambas organizaciones, los medios de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comunicación y los protocolos en caso de circunstancias excepcionales deben definirse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antes de que tenga lugar la actividad de movilidad. Todos los participantes deben ser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informados de estos acuerdos.</w:t>
      </w:r>
    </w:p>
    <w:p w14:paraId="2635BC36" w14:textId="77777777" w:rsidR="00C63E62" w:rsidRPr="007B7BB6" w:rsidRDefault="0053445B" w:rsidP="00C63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ymbolMT" w:hAnsi="Arial" w:cs="Arial"/>
          <w:sz w:val="20"/>
          <w:szCs w:val="20"/>
        </w:rPr>
      </w:pPr>
      <w:r w:rsidRPr="007B7BB6">
        <w:rPr>
          <w:rFonts w:ascii="Arial" w:eastAsia="SymbolMT" w:hAnsi="Arial" w:cs="Arial"/>
          <w:sz w:val="20"/>
          <w:szCs w:val="20"/>
        </w:rPr>
        <w:t xml:space="preserve"> </w:t>
      </w:r>
    </w:p>
    <w:p w14:paraId="76822567" w14:textId="77777777" w:rsidR="0053445B" w:rsidRPr="007B7BB6" w:rsidRDefault="0053445B" w:rsidP="001407B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Apoyo lingüístico: la organización beneficiaria deberá garantizar una formación lingüística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adecuada, adaptada a las necesidades personales y profesionales de los participantes. En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su caso, la organización beneficiaria deberá optimizar el uso de los instrumentos y fondos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específicos aportados por el programa para este fin.</w:t>
      </w:r>
    </w:p>
    <w:p w14:paraId="79E1CCB0" w14:textId="77777777" w:rsidR="00C63E62" w:rsidRPr="007B7BB6" w:rsidRDefault="0053445B" w:rsidP="00C63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ymbolMT" w:hAnsi="Arial" w:cs="Arial"/>
          <w:sz w:val="20"/>
          <w:szCs w:val="20"/>
        </w:rPr>
      </w:pPr>
      <w:r w:rsidRPr="007B7BB6">
        <w:rPr>
          <w:rFonts w:ascii="Arial" w:eastAsia="SymbolMT" w:hAnsi="Arial" w:cs="Arial"/>
          <w:sz w:val="20"/>
          <w:szCs w:val="20"/>
        </w:rPr>
        <w:t xml:space="preserve"> </w:t>
      </w:r>
    </w:p>
    <w:p w14:paraId="667667E8" w14:textId="77777777" w:rsidR="0053445B" w:rsidRPr="007B7BB6" w:rsidRDefault="0053445B" w:rsidP="006F404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Definición de los resultados de aprendizaje: los resultados de aprendizaje previstos para el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período de movilidad deberán acordarse para cada participante o grupo de participantes.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Los resultados de aprendizaje deben acordarse entre las organizaciones de envío y de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acogida, así como el participante (en el caso de actividades individuales). La forma del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acuerdo dependerá del tipo de actividad.</w:t>
      </w:r>
    </w:p>
    <w:p w14:paraId="677D25BE" w14:textId="77777777" w:rsidR="00C63E62" w:rsidRPr="007B7BB6" w:rsidRDefault="0053445B" w:rsidP="00C63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ymbolMT" w:hAnsi="Arial" w:cs="Arial"/>
          <w:sz w:val="20"/>
          <w:szCs w:val="20"/>
        </w:rPr>
      </w:pPr>
      <w:r w:rsidRPr="007B7BB6">
        <w:rPr>
          <w:rFonts w:ascii="Arial" w:eastAsia="SymbolMT" w:hAnsi="Arial" w:cs="Arial"/>
          <w:sz w:val="20"/>
          <w:szCs w:val="20"/>
        </w:rPr>
        <w:t xml:space="preserve"> </w:t>
      </w:r>
    </w:p>
    <w:p w14:paraId="471DCA88" w14:textId="77777777" w:rsidR="0053445B" w:rsidRPr="007B7BB6" w:rsidRDefault="0053445B" w:rsidP="004B50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Evaluación de los resultados de aprendizaje: los resultados de aprendizaje y otros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beneficios para los participantes deben evaluarse sistemáticamente. Los resultados de la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evaluación deben analizarse y utilizarse para mejorar las actividades futuras.</w:t>
      </w:r>
    </w:p>
    <w:p w14:paraId="5CEF9B72" w14:textId="77777777" w:rsidR="00C63E62" w:rsidRPr="007B7BB6" w:rsidRDefault="0053445B" w:rsidP="00C63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ymbolMT" w:hAnsi="Arial" w:cs="Arial"/>
          <w:sz w:val="20"/>
          <w:szCs w:val="20"/>
        </w:rPr>
      </w:pPr>
      <w:r w:rsidRPr="007B7BB6">
        <w:rPr>
          <w:rFonts w:ascii="Arial" w:eastAsia="SymbolMT" w:hAnsi="Arial" w:cs="Arial"/>
          <w:sz w:val="20"/>
          <w:szCs w:val="20"/>
        </w:rPr>
        <w:t xml:space="preserve"> </w:t>
      </w:r>
    </w:p>
    <w:p w14:paraId="6F2B4EA9" w14:textId="77777777" w:rsidR="0053445B" w:rsidRPr="007B7BB6" w:rsidRDefault="0053445B" w:rsidP="00D3177A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Reconocimiento de los resultados del aprendizaje: los resultados del aprendizaje formal,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informal y no formal y otros resultados alcanzados por los participantes en las actividades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de movilidad deben ser debidamente reconocidos en su organización de envío. Siempre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que sea posible, deben utilizarse los instrumentos europeos y nacionales disponibles para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el reconocimiento.</w:t>
      </w:r>
    </w:p>
    <w:p w14:paraId="6B7598F6" w14:textId="77777777" w:rsidR="00C63E62" w:rsidRPr="007B7BB6" w:rsidRDefault="00C63E62" w:rsidP="00C63E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7A010B" w14:textId="77777777" w:rsidR="0053445B" w:rsidRPr="007B7BB6" w:rsidRDefault="0053445B" w:rsidP="00C63E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IV. Compartir los resultados y los conocimientos sobre el programa.</w:t>
      </w:r>
    </w:p>
    <w:p w14:paraId="7886B738" w14:textId="77777777" w:rsidR="00C63E62" w:rsidRPr="007B7BB6" w:rsidRDefault="0053445B" w:rsidP="00C63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ymbolMT" w:hAnsi="Arial" w:cs="Arial"/>
          <w:sz w:val="20"/>
          <w:szCs w:val="20"/>
        </w:rPr>
      </w:pPr>
      <w:r w:rsidRPr="007B7BB6">
        <w:rPr>
          <w:rFonts w:ascii="Arial" w:eastAsia="SymbolMT" w:hAnsi="Arial" w:cs="Arial"/>
          <w:sz w:val="20"/>
          <w:szCs w:val="20"/>
        </w:rPr>
        <w:t xml:space="preserve"> </w:t>
      </w:r>
    </w:p>
    <w:p w14:paraId="632FD055" w14:textId="77777777" w:rsidR="0053445B" w:rsidRPr="007B7BB6" w:rsidRDefault="0053445B" w:rsidP="00CC02D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Compartir los resultados dentro de la organización: las organizaciones beneficiarias deben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hacer que su participación en el programa sea ampliamente conocida en la organización y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crear oportunidades para que los participantes compartan sus experiencias de movilidad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con sus homólogos. En el caso de los consorcios de movilidad, el intercambio debe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producirse en todo el consorcio.</w:t>
      </w:r>
    </w:p>
    <w:p w14:paraId="3C5849C9" w14:textId="77777777" w:rsidR="00C63E62" w:rsidRDefault="0053445B" w:rsidP="00C63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ymbolMT" w:hAnsi="Arial" w:cs="Arial"/>
          <w:sz w:val="20"/>
          <w:szCs w:val="20"/>
        </w:rPr>
      </w:pPr>
      <w:r w:rsidRPr="007B7BB6">
        <w:rPr>
          <w:rFonts w:ascii="Arial" w:eastAsia="SymbolMT" w:hAnsi="Arial" w:cs="Arial"/>
          <w:sz w:val="20"/>
          <w:szCs w:val="20"/>
        </w:rPr>
        <w:t xml:space="preserve"> </w:t>
      </w:r>
    </w:p>
    <w:p w14:paraId="221375FE" w14:textId="77777777" w:rsidR="00327EA9" w:rsidRPr="007B7BB6" w:rsidRDefault="00327EA9" w:rsidP="00C63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ymbolMT" w:hAnsi="Arial" w:cs="Arial"/>
          <w:sz w:val="20"/>
          <w:szCs w:val="20"/>
        </w:rPr>
      </w:pPr>
    </w:p>
    <w:p w14:paraId="5FA2602C" w14:textId="77777777" w:rsidR="0053445B" w:rsidRPr="007B7BB6" w:rsidRDefault="0053445B" w:rsidP="009357B3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Compartir los resultados con otras organizaciones y el público: Las organizaciones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beneficiarias deben compartir los resultados de sus actividades con otras organizaciones y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el público.</w:t>
      </w:r>
    </w:p>
    <w:p w14:paraId="73505C16" w14:textId="77777777" w:rsidR="00C63E62" w:rsidRPr="007B7BB6" w:rsidRDefault="0053445B" w:rsidP="00C63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ymbolMT" w:hAnsi="Arial" w:cs="Arial"/>
          <w:sz w:val="20"/>
          <w:szCs w:val="20"/>
        </w:rPr>
      </w:pPr>
      <w:r w:rsidRPr="007B7BB6">
        <w:rPr>
          <w:rFonts w:ascii="Arial" w:eastAsia="SymbolMT" w:hAnsi="Arial" w:cs="Arial"/>
          <w:sz w:val="20"/>
          <w:szCs w:val="20"/>
        </w:rPr>
        <w:t xml:space="preserve"> </w:t>
      </w:r>
    </w:p>
    <w:p w14:paraId="6CE9AB9B" w14:textId="77777777" w:rsidR="009542FD" w:rsidRPr="007B7BB6" w:rsidRDefault="0053445B" w:rsidP="00307DA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B6">
        <w:rPr>
          <w:rFonts w:ascii="Arial" w:hAnsi="Arial" w:cs="Arial"/>
          <w:sz w:val="20"/>
          <w:szCs w:val="20"/>
        </w:rPr>
        <w:t>Reconocimiento público de los fondos de la Unión Europea: las organizaciones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beneficiarias deben dar a conocer su participación en el programa en su comunidad y entre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el público en general. La organización beneficiaria también debe informar a todos los</w:t>
      </w:r>
      <w:r w:rsidR="00C63E62" w:rsidRPr="007B7BB6">
        <w:rPr>
          <w:rFonts w:ascii="Arial" w:hAnsi="Arial" w:cs="Arial"/>
          <w:sz w:val="20"/>
          <w:szCs w:val="20"/>
        </w:rPr>
        <w:t xml:space="preserve"> </w:t>
      </w:r>
      <w:r w:rsidRPr="007B7BB6">
        <w:rPr>
          <w:rFonts w:ascii="Arial" w:hAnsi="Arial" w:cs="Arial"/>
          <w:sz w:val="20"/>
          <w:szCs w:val="20"/>
        </w:rPr>
        <w:t>participantes sobre la fuente de su subvención.</w:t>
      </w:r>
    </w:p>
    <w:sectPr w:rsidR="009542FD" w:rsidRPr="007B7BB6" w:rsidSect="00AC6D35">
      <w:headerReference w:type="default" r:id="rId7"/>
      <w:footerReference w:type="default" r:id="rId8"/>
      <w:pgSz w:w="11906" w:h="16838"/>
      <w:pgMar w:top="2283" w:right="1416" w:bottom="1417" w:left="1701" w:header="420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1592F" w14:textId="77777777" w:rsidR="00AE7283" w:rsidRDefault="00AE7283" w:rsidP="00327EA9">
      <w:pPr>
        <w:spacing w:after="0" w:line="240" w:lineRule="auto"/>
      </w:pPr>
      <w:r>
        <w:separator/>
      </w:r>
    </w:p>
  </w:endnote>
  <w:endnote w:type="continuationSeparator" w:id="0">
    <w:p w14:paraId="7FD5D3BD" w14:textId="77777777" w:rsidR="00AE7283" w:rsidRDefault="00AE7283" w:rsidP="0032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1EA9C" w14:textId="77777777" w:rsidR="00327EA9" w:rsidRDefault="00327EA9" w:rsidP="00327EA9">
    <w:pPr>
      <w:pStyle w:val="Piedepgina"/>
    </w:pPr>
  </w:p>
  <w:p w14:paraId="4A922356" w14:textId="77777777" w:rsidR="00327EA9" w:rsidRDefault="00327E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E7871" w14:textId="77777777" w:rsidR="00AE7283" w:rsidRDefault="00AE7283" w:rsidP="00327EA9">
      <w:pPr>
        <w:spacing w:after="0" w:line="240" w:lineRule="auto"/>
      </w:pPr>
      <w:r>
        <w:separator/>
      </w:r>
    </w:p>
  </w:footnote>
  <w:footnote w:type="continuationSeparator" w:id="0">
    <w:p w14:paraId="7B8531C4" w14:textId="77777777" w:rsidR="00AE7283" w:rsidRDefault="00AE7283" w:rsidP="0032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1111E" w14:textId="1E8A04AB" w:rsidR="00327EA9" w:rsidRDefault="00A471CB" w:rsidP="00327EA9">
    <w:pPr>
      <w:pStyle w:val="Encabezado"/>
      <w:tabs>
        <w:tab w:val="clear" w:pos="4252"/>
        <w:tab w:val="clear" w:pos="8504"/>
        <w:tab w:val="left" w:pos="6521"/>
        <w:tab w:val="right" w:pos="9497"/>
      </w:tabs>
      <w:ind w:left="708"/>
    </w:pPr>
    <w:r w:rsidRPr="00510E7A">
      <w:rPr>
        <w:noProof/>
        <w:color w:val="002060"/>
      </w:rPr>
      <w:drawing>
        <wp:anchor distT="0" distB="0" distL="114300" distR="114300" simplePos="0" relativeHeight="251665408" behindDoc="1" locked="0" layoutInCell="1" allowOverlap="1" wp14:anchorId="527BFF02" wp14:editId="79B81041">
          <wp:simplePos x="0" y="0"/>
          <wp:positionH relativeFrom="page">
            <wp:posOffset>1080135</wp:posOffset>
          </wp:positionH>
          <wp:positionV relativeFrom="paragraph">
            <wp:posOffset>-9829</wp:posOffset>
          </wp:positionV>
          <wp:extent cx="1295400" cy="835660"/>
          <wp:effectExtent l="0" t="0" r="0" b="2540"/>
          <wp:wrapTight wrapText="bothSides">
            <wp:wrapPolygon edited="0">
              <wp:start x="9529" y="0"/>
              <wp:lineTo x="7624" y="1970"/>
              <wp:lineTo x="7306" y="11325"/>
              <wp:lineTo x="7941" y="15757"/>
              <wp:lineTo x="0" y="17234"/>
              <wp:lineTo x="0" y="21173"/>
              <wp:lineTo x="21282" y="21173"/>
              <wp:lineTo x="21282" y="17726"/>
              <wp:lineTo x="13341" y="15757"/>
              <wp:lineTo x="14294" y="10340"/>
              <wp:lineTo x="13659" y="2462"/>
              <wp:lineTo x="11753" y="0"/>
              <wp:lineTo x="9529" y="0"/>
            </wp:wrapPolygon>
          </wp:wrapTight>
          <wp:docPr id="1676069814" name="Imagen 1676069814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552832" name="Imagen 2045552832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EA9">
      <w:rPr>
        <w:noProof/>
      </w:rPr>
      <w:t xml:space="preserve">                                                                                                 </w:t>
    </w:r>
    <w:r w:rsidR="00327EA9">
      <w:rPr>
        <w:noProof/>
      </w:rPr>
      <w:tab/>
    </w:r>
    <w:r w:rsidR="00327EA9">
      <w:rPr>
        <w:noProof/>
      </w:rPr>
      <w:tab/>
      <w:t xml:space="preserve">                                                                                                                              </w:t>
    </w:r>
    <w:r w:rsidR="00327EA9">
      <w:rPr>
        <w:noProof/>
      </w:rPr>
      <w:tab/>
      <w:t xml:space="preserve">         </w:t>
    </w:r>
  </w:p>
  <w:p w14:paraId="1ABA776E" w14:textId="77777777" w:rsidR="00327EA9" w:rsidRDefault="00327EA9">
    <w:pPr>
      <w:pStyle w:val="Encabezado"/>
    </w:pPr>
  </w:p>
  <w:p w14:paraId="10DA0DF3" w14:textId="77777777" w:rsidR="00D64A40" w:rsidRDefault="00D64A40">
    <w:pPr>
      <w:pStyle w:val="Encabezado"/>
    </w:pPr>
  </w:p>
  <w:p w14:paraId="05E2345F" w14:textId="546EB19E" w:rsidR="00B36ED1" w:rsidRDefault="00B36ED1" w:rsidP="00B36ED1">
    <w:pPr>
      <w:pStyle w:val="Encabezado"/>
      <w:tabs>
        <w:tab w:val="left" w:pos="6521"/>
        <w:tab w:val="right" w:pos="9497"/>
      </w:tabs>
      <w:rPr>
        <w:b/>
        <w:noProof/>
        <w:color w:val="44546A" w:themeColor="text2"/>
      </w:rPr>
    </w:pPr>
    <w:bookmarkStart w:id="0" w:name="_Hlk184807452"/>
    <w:r>
      <w:rPr>
        <w:b/>
        <w:noProof/>
        <w:color w:val="44546A" w:themeColor="text2"/>
      </w:rPr>
      <w:t>Consejería de Educación, Cultura y Deportes</w:t>
    </w:r>
  </w:p>
  <w:bookmarkEnd w:id="0"/>
  <w:p w14:paraId="5DCD7439" w14:textId="51FFDA5B" w:rsidR="00D64A40" w:rsidRPr="00AC6D35" w:rsidRDefault="00B36ED1" w:rsidP="00B36ED1">
    <w:pPr>
      <w:pStyle w:val="Encabezado"/>
      <w:rPr>
        <w:color w:val="44546A" w:themeColor="text2"/>
      </w:rPr>
    </w:pPr>
    <w:r w:rsidRPr="008549B4">
      <w:rPr>
        <w:b/>
        <w:noProof/>
        <w:color w:val="44546A" w:themeColor="text2"/>
      </w:rPr>
      <w:t>D</w:t>
    </w:r>
    <w:r>
      <w:rPr>
        <w:b/>
        <w:noProof/>
        <w:color w:val="44546A" w:themeColor="text2"/>
      </w:rPr>
      <w:t>elegación Provincial de Educación, Cultura y Deportes de Albacete</w:t>
    </w:r>
  </w:p>
  <w:p w14:paraId="015CA165" w14:textId="77777777" w:rsidR="00D64A40" w:rsidRDefault="00D64A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35BF3"/>
    <w:multiLevelType w:val="hybridMultilevel"/>
    <w:tmpl w:val="0E7C04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2C46"/>
    <w:multiLevelType w:val="hybridMultilevel"/>
    <w:tmpl w:val="F1362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D4FC8"/>
    <w:multiLevelType w:val="hybridMultilevel"/>
    <w:tmpl w:val="BD4A4E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B4967"/>
    <w:multiLevelType w:val="hybridMultilevel"/>
    <w:tmpl w:val="DA98A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94729"/>
    <w:multiLevelType w:val="hybridMultilevel"/>
    <w:tmpl w:val="3822D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8267F"/>
    <w:multiLevelType w:val="hybridMultilevel"/>
    <w:tmpl w:val="C60C55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94CB7"/>
    <w:multiLevelType w:val="hybridMultilevel"/>
    <w:tmpl w:val="8446D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92FC2"/>
    <w:multiLevelType w:val="hybridMultilevel"/>
    <w:tmpl w:val="4C9EB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05456"/>
    <w:multiLevelType w:val="hybridMultilevel"/>
    <w:tmpl w:val="81B46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75163"/>
    <w:multiLevelType w:val="hybridMultilevel"/>
    <w:tmpl w:val="2A926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154F3"/>
    <w:multiLevelType w:val="hybridMultilevel"/>
    <w:tmpl w:val="FBD0E474"/>
    <w:lvl w:ilvl="0" w:tplc="D0B6879C">
      <w:start w:val="4"/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3722D"/>
    <w:multiLevelType w:val="hybridMultilevel"/>
    <w:tmpl w:val="17BAC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483480">
    <w:abstractNumId w:val="2"/>
  </w:num>
  <w:num w:numId="2" w16cid:durableId="632294787">
    <w:abstractNumId w:val="10"/>
  </w:num>
  <w:num w:numId="3" w16cid:durableId="2029914146">
    <w:abstractNumId w:val="5"/>
  </w:num>
  <w:num w:numId="4" w16cid:durableId="1149441550">
    <w:abstractNumId w:val="7"/>
  </w:num>
  <w:num w:numId="5" w16cid:durableId="437338350">
    <w:abstractNumId w:val="3"/>
  </w:num>
  <w:num w:numId="6" w16cid:durableId="26299381">
    <w:abstractNumId w:val="0"/>
  </w:num>
  <w:num w:numId="7" w16cid:durableId="1515193055">
    <w:abstractNumId w:val="8"/>
  </w:num>
  <w:num w:numId="8" w16cid:durableId="218439982">
    <w:abstractNumId w:val="1"/>
  </w:num>
  <w:num w:numId="9" w16cid:durableId="322051866">
    <w:abstractNumId w:val="9"/>
  </w:num>
  <w:num w:numId="10" w16cid:durableId="200285151">
    <w:abstractNumId w:val="6"/>
  </w:num>
  <w:num w:numId="11" w16cid:durableId="1600871094">
    <w:abstractNumId w:val="4"/>
  </w:num>
  <w:num w:numId="12" w16cid:durableId="1139077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b5HM4OpX4fqeIplkdd5kvQylLTOywtrCMSJOHWeE2r0BPfueFfNkcjhqNsyF0YnLboLisxgsXZ4XVTl9thWXIg==" w:salt="QC2WyxEWhv+JtlfURPAUf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1C"/>
    <w:rsid w:val="000576DB"/>
    <w:rsid w:val="00116B90"/>
    <w:rsid w:val="0016077D"/>
    <w:rsid w:val="001A6C9B"/>
    <w:rsid w:val="001A7EED"/>
    <w:rsid w:val="00327EA9"/>
    <w:rsid w:val="00343C67"/>
    <w:rsid w:val="003848D5"/>
    <w:rsid w:val="003F3D1C"/>
    <w:rsid w:val="00444819"/>
    <w:rsid w:val="00483C3F"/>
    <w:rsid w:val="0049231C"/>
    <w:rsid w:val="00506595"/>
    <w:rsid w:val="0053445B"/>
    <w:rsid w:val="005F3E88"/>
    <w:rsid w:val="00636726"/>
    <w:rsid w:val="00680F60"/>
    <w:rsid w:val="00683E56"/>
    <w:rsid w:val="00725C46"/>
    <w:rsid w:val="00736B0B"/>
    <w:rsid w:val="00737788"/>
    <w:rsid w:val="007B7BB6"/>
    <w:rsid w:val="009542FD"/>
    <w:rsid w:val="00992097"/>
    <w:rsid w:val="00997E77"/>
    <w:rsid w:val="009B0D92"/>
    <w:rsid w:val="009D5D97"/>
    <w:rsid w:val="009F4086"/>
    <w:rsid w:val="00A155FB"/>
    <w:rsid w:val="00A471CB"/>
    <w:rsid w:val="00AC6D35"/>
    <w:rsid w:val="00AE7283"/>
    <w:rsid w:val="00B2494C"/>
    <w:rsid w:val="00B36ED1"/>
    <w:rsid w:val="00C35FCD"/>
    <w:rsid w:val="00C4510B"/>
    <w:rsid w:val="00C63E62"/>
    <w:rsid w:val="00D03902"/>
    <w:rsid w:val="00D64A40"/>
    <w:rsid w:val="00DD0CDF"/>
    <w:rsid w:val="00DF592F"/>
    <w:rsid w:val="00DF6AF9"/>
    <w:rsid w:val="00E05740"/>
    <w:rsid w:val="00EA4C32"/>
    <w:rsid w:val="00ED2636"/>
    <w:rsid w:val="00F231B1"/>
    <w:rsid w:val="00F25E8E"/>
    <w:rsid w:val="00F8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79D6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510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3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E5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327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27EA9"/>
  </w:style>
  <w:style w:type="paragraph" w:styleId="Piedepgina">
    <w:name w:val="footer"/>
    <w:basedOn w:val="Normal"/>
    <w:link w:val="PiedepginaCar"/>
    <w:unhideWhenUsed/>
    <w:rsid w:val="00327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27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2080</Words>
  <Characters>11446</Characters>
  <Application>Microsoft Office Word</Application>
  <DocSecurity>8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2024-12-09T11:39:00Z</dcterms:created>
  <dcterms:modified xsi:type="dcterms:W3CDTF">2024-12-11T10:23:00Z</dcterms:modified>
</cp:coreProperties>
</file>